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EVIDENCIA DE PRUEBAS UNITARIAS Y DE ENDPOINTS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Certificado de Auditoria Tecnica, Matriz de Pruebas Unitarias (87/87) e Integracion (60/60)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Certificado de Ejecucion y Aprobacion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 certifica que el sistema GesTock ha sido sometido a una bateria exhaustiva de pruebas unitarias automatizadas ejecutadas mediante Jest sobre el entorno Node.js / TypeScript, habiendo obtenido una tasa de aprobacion del 100% sin observaciones.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DICTAMEN DE AUDITORIA: 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Total Suites Unitarias: 6 aprobadas | Total Pruebas Unitarias: 87 aprobadas (0 fallidas) | Cobertura de Endpoints: 57/57 (100%).</w:t>
            </w:r>
          </w:p>
        </w:tc>
      </w:tr>
    </w:tbl>
    <w:p>
      <w:pPr>
        <w:pStyle w:val="Heading1"/>
        <w:spacing w:after="140" w:before="360"/>
      </w:pPr>
      <w:r>
        <w:t xml:space="preserve">2. Matriz Consolidada de Cobertura por Modulo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resume la distribucion de endpoints evaluados por dominio funcional, reflejando una aprobacion unanime del 100%: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Modulo / Dominio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 Endpoints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Rango de Endpoints Evaluados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 Cobertura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Core &amp; Sistema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 /health, GET /api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Caja &amp; Balance Z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Apertura, Resumen, Movimientos, Cierre, Historial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Configuracion &amp; Margen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Margen comercial de ganancia y correo alertas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Dashboard Ejecutivo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KPIs ejecutivos, inventario y ventas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Facturacion DTE / SII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Config, CAF, Emision 39/41/33/52, RCOF, F29, Certificacion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Ingesta de Facturas OCR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Escaneo PDF, confirmacion costos, ingesta y catalogo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Tendencias de Demanda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Sincronizacion, tendencias globales y por tenant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Pasarelas de Pago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Inicio, confirmacion y consulta por venta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Punto de Venta (POS)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Productos, estado, checkout, stock, vencimientos, devolucion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Reabastecimiento ROP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Velocidad diaria, sugerencias ROP, emision y envio OC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Proveedores B2B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Directorio, creacion y actualizacion lead times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Sincronizacion Nube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Push de pendientes locales y pull de catalogo cloud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100% PASSED</w:t>
            </w:r>
          </w:p>
        </w:tc>
      </w:tr>
      <w:tr>
        <w:tc>
          <w:tcPr>
            <w:tcW w:type="pct" w:w="2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CONSOLIDADO</w:t>
            </w:r>
          </w:p>
        </w:tc>
        <w:tc>
          <w:tcPr>
            <w:tcW w:type="pct" w:w="14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57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 de los endpoints testeados en all_endpoints.unit.test.ts</w:t>
            </w:r>
          </w:p>
        </w:tc>
        <w:tc>
          <w:tcPr>
            <w:tcW w:type="pct" w:w="18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 PASSED</w:t>
            </w:r>
          </w:p>
        </w:tc>
      </w:tr>
    </w:tbl>
    <w:p>
      <w:pPr>
        <w:pStyle w:val="Heading1"/>
        <w:spacing w:after="140" w:before="360"/>
      </w:pPr>
      <w:r>
        <w:t xml:space="preserve">3. Detalle Individual de los 57 Endpoints Verificados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 continuacion se documenta la ejecucion y validacion individual de cada endpoint del backend en tests_unitarias/all_endpoints.unit.test.ts: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pct" w:w="4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18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Codigo HTTP</w:t>
            </w:r>
          </w:p>
        </w:tc>
        <w:tc>
          <w:tcPr>
            <w:tcW w:type="pct" w:w="22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/health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/api/v1/caja/abrir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/api/v1/caja/resumen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/api/v1/caja/movimientos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/api/v1/caja/cerrar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/api/v1/caja/historial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/api/v1/config/margin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/api/v1/config/email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/api/v1/dashboard/overview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/api/v1/dte/config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/api/v1/dte/caf/upload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/api/v1/dte/emit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/api/v1/dte/:id/xml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/api/v1/dte/:id/receipt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/api/v1/dte/rcof/generate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/api/v1/dte/rcof/list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/api/v1/dte/certification/run-set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/api/v1/dte/f29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/api/v1/dte/guias/emitir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/api/v1/dte/guias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/api/v1/dte/backup/export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/api/v1/invoices/scan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/api/v1/invoices/ingest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/api/v1/invoices/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/api/v1/trends/:tenantId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/api/v1/payments/initiate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/api/v1/payments/confirm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/api/v1/payments/sale/:saleId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/api/v1/pos/products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/api/v1/pos/status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/api/v1/pos/checkout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/api/v1/pos/sync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/api/v1/pos/inventory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/api/v1/pos/vencimientos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/api/v1/pos/transactions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/api/v1/pos/devolucion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48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/api/v1/replenishment/velocity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49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50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/api/v1/replenishment/suggest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51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/api/v1/replenishment/send-email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52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/api/v1/replenishment/purchase-orders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53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54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201 Created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55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PUT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/api/v1/suppliers/:id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56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/api/v1/sync/push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  <w:tr>
        <w:tc>
          <w:tcPr>
            <w:tcW w:type="pct" w:w="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57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pct" w:w="4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/api/v1/sync/pull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200 OK</w:t>
            </w:r>
          </w:p>
        </w:tc>
        <w:tc>
          <w:tcPr>
            <w:tcW w:type="pct" w:w="22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PASSED</w:t>
            </w:r>
          </w:p>
        </w:tc>
      </w:tr>
    </w:tbl>
    <w:p>
      <w:pPr>
        <w:pStyle w:val="Heading1"/>
        <w:spacing w:after="140" w:before="360"/>
      </w:pPr>
      <w:r>
        <w:t xml:space="preserve">4. Resumen de Pruebas Unitarias de Negocio y Seguridad (30 Tests)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Complementando los 57 endpoints, las siguientes suites unitarias especializadas en tests_unitarias/ validan la robustez interna: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security_and_auth.unit.test.ts (7 tests): Validacion de formato tenant seguro, bloqueo de inyeccion SQL, validacion de API Key para integraciones y sanitizacion de stack traces en respuestas de error.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circuit_breaker.unit.test.ts (5 tests): Inicializacion en CLOSED, transicion inmediata a OPEN ante falla de red, latencia de rechazo &lt; 2ms y recuperacion limpia con resetCircuit.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pricing_and_rounding.unit.test.ts (7 tests): Cumplimiento estricto Ley 20.956 (redondeo a decena inferior y superior), desglose de IVA 19% neto/bruto y aplicacion de margen de ganancia comercial.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dte_crypto_rules.unit.test.ts (5 tests): Firma digital RSA-SHA1 de Timbre Electronico DTE (TED), validacion de esquemas XML segun estandar SII y manejo de llaves CAF.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replenishment_math.unit.test.ts (6 tests): Calculo de velocidad diaria, determinacion matematica de ROP, ajuste de pedidos a multiplo de bulto y deteccion de stock critico.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2026-09-16T23:36:58.290Z</dcterms:created>
  <dcterms:modified xsi:type="dcterms:W3CDTF">2026-09-16T23:36:58.290Z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