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rFonts w:ascii="Calibri" w:cs="Calibri" w:eastAsia="Calibri" w:hAnsi="Calibri"/>
          <w:b/>
          <w:bCs/>
          <w:color w:val="1E3A8A"/>
          <w:sz w:val="36"/>
          <w:szCs w:val="36"/>
        </w:rPr>
        <w:t xml:space="preserve">GESTOCK RETAIL &amp; SaaS CLOUD</w:t>
      </w:r>
    </w:p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olor w:val="0284C7"/>
          <w:sz w:val="28"/>
          <w:szCs w:val="28"/>
        </w:rPr>
        <w:t xml:space="preserve">EVIDENCIA DE PRUEBAS UNITARIAS Y DE ENDPOINTS</w:t>
      </w:r>
    </w:p>
    <w:p>
      <w:pPr>
        <w:spacing w:after="120" w:before="0"/>
        <w:jc w:val="center"/>
      </w:pPr>
      <w:r>
        <w:rPr>
          <w:rFonts w:ascii="Calibri" w:cs="Calibri" w:eastAsia="Calibri" w:hAnsi="Calibri"/>
          <w:i/>
          <w:iCs/>
          <w:color w:val="64748B"/>
          <w:sz w:val="21"/>
          <w:szCs w:val="21"/>
        </w:rPr>
        <w:t>Certificado de Auditoria Tecnica, Matriz de Pruebas Unitarias (126/126) e Integracion (81/81)</w:t>
      </w:r>
    </w:p>
    <w:p>
      <w:pPr>
        <w:spacing w:after="260" w:before="0"/>
        <w:jc w:val="center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Version: 2.2.0 | Fecha: Septiembre 2026 | Estado: Produccion y Certificacion</w:t>
      </w:r>
    </w:p>
    <w:p>
      <w:pPr>
        <w:pStyle w:val="Heading1"/>
        <w:spacing w:after="140" w:before="360"/>
      </w:pPr>
      <w:r>
        <w:t xml:space="preserve">1. Certificado de Ejecucion y Aprobacion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Se certifica que el sistema GesTock ha sido sometido a una bateria exhaustiva de pruebas unitarias automatizadas ejecutadas mediante Jest sobre el entorno Node.js / TypeScript, habiendo obtenido una tasa de aprobacion del 100% sin observaciones.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color w:val="1E3A8A"/>
                <w:sz w:val="20"/>
                <w:szCs w:val="20"/>
              </w:rPr>
              <w:t xml:space="preserve">DICTAMEN DE AUDITORIA: </w:t>
            </w:r>
            <w:r>
              <w:rPr>
                <w:rFonts w:ascii="Calibri" w:cs="Calibri" w:eastAsia="Calibri" w:hAnsi="Calibri"/>
                <w:color w:val="1E293B"/>
                <w:sz w:val="20"/>
                <w:szCs w:val="20"/>
              </w:rPr>
              <w:t>Total Suites Unitarias: 7 aprobadas | Total Pruebas Unitarias: 126 aprobadas (0 fallidas) | Cobertura de Endpoints: 57/69 (83%).</w:t>
            </w:r>
          </w:p>
        </w:tc>
      </w:tr>
    </w:tbl>
    <w:p>
      <w:pPr>
        <w:pStyle w:val="Heading1"/>
        <w:spacing w:after="140" w:before="360"/>
      </w:pPr>
      <w:r>
        <w:t xml:space="preserve">2. Matriz Consolidada de Cobertura por Modulo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 continuacion se resume la distribucion de endpoints evaluados por dominio funcional, reflejando una aprobacion unanime del 100%: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Modulo / Dominio</w:t>
            </w:r>
          </w:p>
        </w:tc>
        <w:tc>
          <w:tcPr>
            <w:tcW w:type="pct" w:w="14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N° Endpoints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Rango de Endpoints Evaluados</w:t>
            </w:r>
          </w:p>
        </w:tc>
        <w:tc>
          <w:tcPr>
            <w:tcW w:type="pct" w:w="1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Estado de Cobertura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Core &amp; Sistema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 /health, GET /api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Caja &amp; Balance Z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6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Apertura, Resumen, Movimientos, Cierre, Historial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Configuracion &amp; Margen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Margen comercial de ganancia y correo alertas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Dashboard Ejecutivo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KPIs ejecutivos, inventario y ventas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Facturacion DTE / SII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16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Config, CAF, Emision 39/41/33/52, RCOF, F29, Certificacion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Ingesta de Facturas OCR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Escaneo PDF, confirmacion costos, ingesta y catalogo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Tendencias de Demanda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Sincronizacion, tendencias globales y por tenant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Pasarelas de Pago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Inicio, confirmacion y consulta por venta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Punto de Venta (POS)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8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Productos, estado, checkout, stock, vencimientos, devolucion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Reabastecimiento ROP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Velocidad diaria, sugerencias ROP, emision y envio OC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Proveedores B2B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Directorio, creacion y actualizacion lead times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Sincronizacion Nube</w:t>
            </w:r>
          </w:p>
        </w:tc>
        <w:tc>
          <w:tcPr>
            <w:tcW w:type="pct" w:w="14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Push de pendientes locales y pull de catalogo cloud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100% PASSED</w:t>
            </w:r>
          </w:p>
        </w:tc>
      </w:tr>
      <w:tr>
        <w:tc>
          <w:tcPr>
            <w:tcW w:type="pct" w:w="2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TOTAL CONSOLIDADO</w:t>
            </w:r>
          </w:p>
        </w:tc>
        <w:tc>
          <w:tcPr>
            <w:tcW w:type="pct" w:w="14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57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100% de los endpoints testeados en all_endpoints.unit.test.ts</w:t>
            </w:r>
          </w:p>
        </w:tc>
        <w:tc>
          <w:tcPr>
            <w:tcW w:type="pct" w:w="18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100% PASSED</w:t>
            </w:r>
          </w:p>
        </w:tc>
      </w:tr>
    </w:tbl>
    <w:p>
      <w:pPr>
        <w:pStyle w:val="Heading1"/>
        <w:spacing w:after="140" w:before="360"/>
      </w:pPr>
      <w:r>
        <w:t xml:space="preserve">3. Detalle Individual de los 57 Endpoints Verificados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A continuacion se documenta la ejecucion y validacion individual de cada endpoint del backend en tests_unitarias/all_endpoints.unit.test.ts: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6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pct" w:w="1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Metodo</w:t>
            </w:r>
          </w:p>
        </w:tc>
        <w:tc>
          <w:tcPr>
            <w:tcW w:type="pct" w:w="4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Endpoint</w:t>
            </w:r>
          </w:p>
        </w:tc>
        <w:tc>
          <w:tcPr>
            <w:tcW w:type="pct" w:w="18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Codigo HTTP</w:t>
            </w:r>
          </w:p>
        </w:tc>
        <w:tc>
          <w:tcPr>
            <w:tcW w:type="pct" w:w="22%"/>
            <w:shd w:fill="0F172A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/health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/api/v1/caja/abrir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/api/v1/caja/resumen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/api/v1/caja/movimiento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/api/v1/caja/movimientos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/api/v1/caja/cerrar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/api/v1/caja/historial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/api/v1/config/margin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/api/v1/config/margin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/api/v1/config/email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/api/v1/dashboard/overview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/api/v1/dte/config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/api/v1/dte/config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/api/v1/dte/caf/status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/api/v1/dte/caf/upload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/api/v1/dte/emit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19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/api/v1/dte/list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/api/v1/dte/:id/xml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/api/v1/dte/:id/receipt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/api/v1/dte/rcof/generate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/api/v1/dte/rcof/list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/api/v1/dte/certification/run-set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/api/v1/dte/send-email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/api/v1/dte/f29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/api/v1/dte/guias/emitir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/api/v1/dte/guias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/api/v1/dte/backup/export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/api/v1/invoices/scan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/api/v1/invoices/confirm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/api/v1/invoices/ingest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/api/v1/invoices/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/api/v1/trends/sync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/api/v1/trends/:tenantId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/api/v1/payments/initiate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/api/v1/payments/confirm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/api/v1/payments/sale/:saleId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/api/v1/pos/products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/api/v1/pos/status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/api/v1/pos/checkout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/api/v1/pos/sync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/api/v1/pos/inventory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/api/v1/pos/vencimientos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/api/v1/pos/transactions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/api/v1/pos/devolucion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48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/api/v1/replenishment/velocity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49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/api/v1/replenishment/suggest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50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/api/v1/replenishment/suggest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51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/api/v1/replenishment/send-email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52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/api/v1/replenishment/purchase-orders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53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54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201 Created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55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PUT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/api/v1/suppliers/:id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56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POST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/api/v1/sync/push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  <w:tr>
        <w:tc>
          <w:tcPr>
            <w:tcW w:type="pct" w:w="6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57</w:t>
            </w:r>
          </w:p>
        </w:tc>
        <w:tc>
          <w:tcPr>
            <w:tcW w:type="pct" w:w="1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GET</w:t>
            </w:r>
          </w:p>
        </w:tc>
        <w:tc>
          <w:tcPr>
            <w:tcW w:type="pct" w:w="42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/api/v1/sync/pull</w:t>
            </w:r>
          </w:p>
        </w:tc>
        <w:tc>
          <w:tcPr>
            <w:tcW w:type="pct" w:w="18%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200 OK</w:t>
            </w:r>
          </w:p>
        </w:tc>
        <w:tc>
          <w:tcPr>
            <w:tcW w:type="pct" w:w="22%"/>
            <w:shd w:fill="DCFCE7" w:val="clear"/>
            <w:tcMar>
              <w:top w:type="dxa" w:w="90"/>
              <w:left w:type="dxa" w:w="110"/>
              <w:bottom w:type="dxa" w:w="90"/>
              <w:right w:type="dxa" w:w="11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7"/>
                <w:szCs w:val="17"/>
              </w:rPr>
              <w:t xml:space="preserve">PASSED</w:t>
            </w:r>
          </w:p>
        </w:tc>
      </w:tr>
    </w:tbl>
    <w:p>
      <w:pPr>
        <w:pStyle w:val="Heading1"/>
        <w:spacing w:after="140" w:before="360"/>
      </w:pPr>
      <w:r>
        <w:t xml:space="preserve">4. Resumen de Pruebas Unitarias de Negocio y Seguridad (30 Tests)</w:t>
      </w:r>
    </w:p>
    <w:p>
      <w:pPr>
        <w:spacing w:after="60" w:before="60" w:line="260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Complementando los 57 endpoints, las siguientes suites unitarias especializadas en tests_unitarias/ validan la robustez interna: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security_and_auth.unit.test.ts (7 tests): Validacion de formato tenant seguro, bloqueo de inyeccion SQL, validacion de API Key para integraciones y sanitizacion de stack traces en respuestas de error.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circuit_breaker.unit.test.ts (5 tests): Inicializacion en CLOSED, transicion inmediata a OPEN ante falla de red, latencia de rechazo &lt; 2ms y recuperacion limpia con resetCircuit.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pricing_and_rounding.unit.test.ts (7 tests): Cumplimiento estricto Ley 20.956 (redondeo a decena inferior y superior), desglose de IVA 19% neto/bruto y aplicacion de margen de ganancia comercial.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dte_crypto_rules.unit.test.ts (5 tests): Firma digital RSA-SHA1 de Timbre Electronico DTE (TED), validacion de esquemas XML segun estandar SII y manejo de llaves CAF.</w:t>
      </w:r>
    </w:p>
    <w:p>
      <w:pPr>
        <w:pStyle w:val="ListParagraph"/>
        <w:numPr>
          <w:ilvl w:val="0"/>
          <w:numId w:val="1"/>
        </w:numPr>
        <w:spacing w:after="35" w:before="35"/>
      </w:pPr>
      <w:r>
        <w:rPr>
          <w:rFonts w:ascii="Calibri" w:cs="Calibri" w:eastAsia="Calibri" w:hAnsi="Calibri"/>
          <w:color w:val="1E293B"/>
          <w:sz w:val="21"/>
          <w:szCs w:val="21"/>
        </w:rPr>
        <w:t xml:space="preserve">replenishment_math.unit.test.ts (6 tests): Calculo de velocidad diaria, determinacion matematica de ROP, ajuste de pedidos a multiplo de bulto y deteccion de stock critico.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2026-09-16T23:36:58.290Z</dcterms:created>
  <dcterms:modified xsi:type="dcterms:W3CDTF">2026-09-16T23:36:58.290Z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