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76 de 76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96 de 96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172 pruebas automatizadas (21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 xml:space="preserve">183 pruebas aprobadas (22 suites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, 100% PA</w:t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SS Rate)</w:t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8 / 8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100% de cobertura del catálogo (57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REST probados con Express en memoria). Valida códigos 200, 201, 400 y 404,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headers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respuestas JSON.</w:t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16 / 16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/backend/: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6 suites exclusiv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as con 96 pruebas enfocadas en criptografía, resiliencia offline, algoritmos predictivos y el catálogo de 57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endpoints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REST.</w:t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6 suites de backend (96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(107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6 suites, 96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Exclusivo Backend: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21 suites, 172 pruebas aprobadas al 100%</w:t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General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22 suites, 183 pruebas aprobadas al 100% (cero fallas)</w:t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