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040"/>
        <w:gridCol w:w="6810"/>
      </w:tblGrid>
      <w:tr w:rsidR="00B95579" w14:paraId="3156D17A" w14:textId="77777777">
        <w:trPr>
          <w:jc w:val="center"/>
        </w:trPr>
        <w:tc>
          <w:tcPr>
            <w:tcW w:w="1935" w:type="dxa"/>
            <w:shd w:val="clear" w:color="auto" w:fill="auto"/>
            <w:tcMar>
              <w:top w:w="100" w:type="dxa"/>
              <w:left w:w="100" w:type="dxa"/>
              <w:bottom w:w="100" w:type="dxa"/>
              <w:right w:w="100" w:type="dxa"/>
            </w:tcMar>
          </w:tcPr>
          <w:p w14:paraId="5A9328CB" w14:textId="77777777" w:rsidR="00B95579" w:rsidRDefault="000076CB">
            <w:pPr>
              <w:widowControl w:val="0"/>
              <w:pBdr>
                <w:top w:val="nil"/>
                <w:left w:val="nil"/>
                <w:bottom w:val="nil"/>
                <w:right w:val="nil"/>
                <w:between w:val="nil"/>
              </w:pBdr>
              <w:spacing w:line="240" w:lineRule="auto"/>
              <w:rPr>
                <w:b/>
              </w:rPr>
            </w:pPr>
            <w:r>
              <w:rPr>
                <w:b/>
              </w:rPr>
              <w:t>Visualizations</w:t>
            </w:r>
          </w:p>
        </w:tc>
        <w:tc>
          <w:tcPr>
            <w:tcW w:w="2040" w:type="dxa"/>
            <w:shd w:val="clear" w:color="auto" w:fill="auto"/>
            <w:tcMar>
              <w:top w:w="100" w:type="dxa"/>
              <w:left w:w="100" w:type="dxa"/>
              <w:bottom w:w="100" w:type="dxa"/>
              <w:right w:w="100" w:type="dxa"/>
            </w:tcMar>
          </w:tcPr>
          <w:p w14:paraId="5A90EBDB" w14:textId="77777777" w:rsidR="00B95579" w:rsidRDefault="000076CB">
            <w:pPr>
              <w:widowControl w:val="0"/>
              <w:pBdr>
                <w:top w:val="nil"/>
                <w:left w:val="nil"/>
                <w:bottom w:val="nil"/>
                <w:right w:val="nil"/>
                <w:between w:val="nil"/>
              </w:pBdr>
              <w:spacing w:line="240" w:lineRule="auto"/>
              <w:rPr>
                <w:b/>
              </w:rPr>
            </w:pPr>
            <w:r>
              <w:rPr>
                <w:b/>
              </w:rPr>
              <w:t>Criteria</w:t>
            </w:r>
          </w:p>
        </w:tc>
        <w:tc>
          <w:tcPr>
            <w:tcW w:w="6810" w:type="dxa"/>
            <w:shd w:val="clear" w:color="auto" w:fill="auto"/>
            <w:tcMar>
              <w:top w:w="100" w:type="dxa"/>
              <w:left w:w="100" w:type="dxa"/>
              <w:bottom w:w="100" w:type="dxa"/>
              <w:right w:w="100" w:type="dxa"/>
            </w:tcMar>
          </w:tcPr>
          <w:p w14:paraId="04B510EC" w14:textId="77777777" w:rsidR="00B95579" w:rsidRDefault="000076CB">
            <w:pPr>
              <w:widowControl w:val="0"/>
              <w:pBdr>
                <w:top w:val="nil"/>
                <w:left w:val="nil"/>
                <w:bottom w:val="nil"/>
                <w:right w:val="nil"/>
                <w:between w:val="nil"/>
              </w:pBdr>
              <w:spacing w:line="240" w:lineRule="auto"/>
              <w:rPr>
                <w:b/>
              </w:rPr>
            </w:pPr>
            <w:r>
              <w:rPr>
                <w:b/>
              </w:rPr>
              <w:t>Technical Description of what you implemented.</w:t>
            </w:r>
          </w:p>
        </w:tc>
      </w:tr>
      <w:tr w:rsidR="00B95579" w14:paraId="3CFF39A5" w14:textId="77777777">
        <w:trPr>
          <w:trHeight w:val="420"/>
          <w:jc w:val="center"/>
        </w:trPr>
        <w:tc>
          <w:tcPr>
            <w:tcW w:w="1935" w:type="dxa"/>
            <w:vMerge w:val="restart"/>
            <w:shd w:val="clear" w:color="auto" w:fill="auto"/>
            <w:tcMar>
              <w:top w:w="100" w:type="dxa"/>
              <w:left w:w="100" w:type="dxa"/>
              <w:bottom w:w="100" w:type="dxa"/>
              <w:right w:w="100" w:type="dxa"/>
            </w:tcMar>
          </w:tcPr>
          <w:p w14:paraId="6AAF0172" w14:textId="77777777" w:rsidR="00B95579" w:rsidRDefault="000076CB">
            <w:pPr>
              <w:widowControl w:val="0"/>
              <w:pBdr>
                <w:top w:val="nil"/>
                <w:left w:val="nil"/>
                <w:bottom w:val="nil"/>
                <w:right w:val="nil"/>
                <w:between w:val="nil"/>
              </w:pBdr>
              <w:spacing w:line="240" w:lineRule="auto"/>
            </w:pPr>
            <w:r>
              <w:rPr>
                <w:b/>
              </w:rPr>
              <w:t>A</w:t>
            </w:r>
            <w:r>
              <w:t xml:space="preserve"> House Prices</w:t>
            </w:r>
          </w:p>
        </w:tc>
        <w:tc>
          <w:tcPr>
            <w:tcW w:w="2040" w:type="dxa"/>
            <w:shd w:val="clear" w:color="auto" w:fill="auto"/>
            <w:tcMar>
              <w:top w:w="100" w:type="dxa"/>
              <w:left w:w="100" w:type="dxa"/>
              <w:bottom w:w="100" w:type="dxa"/>
              <w:right w:w="100" w:type="dxa"/>
            </w:tcMar>
          </w:tcPr>
          <w:p w14:paraId="56D7613B" w14:textId="77777777" w:rsidR="00B95579" w:rsidRDefault="000076CB">
            <w:pPr>
              <w:widowControl w:val="0"/>
              <w:pBdr>
                <w:top w:val="nil"/>
                <w:left w:val="nil"/>
                <w:bottom w:val="nil"/>
                <w:right w:val="nil"/>
                <w:between w:val="nil"/>
              </w:pBdr>
              <w:spacing w:line="240" w:lineRule="auto"/>
              <w:jc w:val="right"/>
            </w:pPr>
            <w:r>
              <w:t xml:space="preserve">Use of visual </w:t>
            </w:r>
          </w:p>
          <w:p w14:paraId="1FBA0714" w14:textId="77777777" w:rsidR="00B95579" w:rsidRDefault="000076CB">
            <w:pPr>
              <w:widowControl w:val="0"/>
              <w:pBdr>
                <w:top w:val="nil"/>
                <w:left w:val="nil"/>
                <w:bottom w:val="nil"/>
                <w:right w:val="nil"/>
                <w:between w:val="nil"/>
              </w:pBdr>
              <w:spacing w:line="240" w:lineRule="auto"/>
              <w:jc w:val="right"/>
            </w:pPr>
            <w:r>
              <w:t>channels</w:t>
            </w:r>
          </w:p>
        </w:tc>
        <w:tc>
          <w:tcPr>
            <w:tcW w:w="6810" w:type="dxa"/>
            <w:shd w:val="clear" w:color="auto" w:fill="auto"/>
            <w:tcMar>
              <w:top w:w="100" w:type="dxa"/>
              <w:left w:w="100" w:type="dxa"/>
              <w:bottom w:w="100" w:type="dxa"/>
              <w:right w:w="100" w:type="dxa"/>
            </w:tcMar>
          </w:tcPr>
          <w:p w14:paraId="3EAE3A4C" w14:textId="77777777" w:rsidR="00B95579" w:rsidRDefault="000076CB">
            <w:pPr>
              <w:widowControl w:val="0"/>
              <w:pBdr>
                <w:top w:val="nil"/>
                <w:left w:val="nil"/>
                <w:bottom w:val="nil"/>
                <w:right w:val="nil"/>
                <w:between w:val="nil"/>
              </w:pBdr>
              <w:spacing w:line="240" w:lineRule="auto"/>
            </w:pPr>
            <w:r>
              <w:t xml:space="preserve">Two vertical bar charts were used to encode the prices of four housing types in London and Newcastle upon Tyne between 2017 and 2020. The bars are </w:t>
            </w:r>
            <w:proofErr w:type="spellStart"/>
            <w:r>
              <w:t>colour</w:t>
            </w:r>
            <w:proofErr w:type="spellEnd"/>
            <w:r>
              <w:t xml:space="preserve">-coded by year using a tetradic </w:t>
            </w:r>
            <w:proofErr w:type="spellStart"/>
            <w:r>
              <w:t>colour</w:t>
            </w:r>
            <w:proofErr w:type="spellEnd"/>
            <w:r>
              <w:t xml:space="preserve"> set and grouped together by housing type, and by region. </w:t>
            </w:r>
          </w:p>
        </w:tc>
      </w:tr>
      <w:tr w:rsidR="00B95579" w14:paraId="664BF97B" w14:textId="77777777">
        <w:trPr>
          <w:trHeight w:val="420"/>
          <w:jc w:val="center"/>
        </w:trPr>
        <w:tc>
          <w:tcPr>
            <w:tcW w:w="1935" w:type="dxa"/>
            <w:vMerge/>
            <w:shd w:val="clear" w:color="auto" w:fill="auto"/>
            <w:tcMar>
              <w:top w:w="100" w:type="dxa"/>
              <w:left w:w="100" w:type="dxa"/>
              <w:bottom w:w="100" w:type="dxa"/>
              <w:right w:w="100" w:type="dxa"/>
            </w:tcMar>
          </w:tcPr>
          <w:p w14:paraId="26534616" w14:textId="77777777" w:rsidR="00B95579" w:rsidRDefault="00B95579">
            <w:pPr>
              <w:widowControl w:val="0"/>
              <w:pBdr>
                <w:top w:val="nil"/>
                <w:left w:val="nil"/>
                <w:bottom w:val="nil"/>
                <w:right w:val="nil"/>
                <w:between w:val="nil"/>
              </w:pBdr>
              <w:spacing w:line="240" w:lineRule="auto"/>
            </w:pPr>
          </w:p>
        </w:tc>
        <w:tc>
          <w:tcPr>
            <w:tcW w:w="2040" w:type="dxa"/>
            <w:shd w:val="clear" w:color="auto" w:fill="auto"/>
            <w:tcMar>
              <w:top w:w="100" w:type="dxa"/>
              <w:left w:w="100" w:type="dxa"/>
              <w:bottom w:w="100" w:type="dxa"/>
              <w:right w:w="100" w:type="dxa"/>
            </w:tcMar>
          </w:tcPr>
          <w:p w14:paraId="63B476FB" w14:textId="77777777" w:rsidR="00B95579" w:rsidRDefault="000076CB">
            <w:pPr>
              <w:widowControl w:val="0"/>
              <w:spacing w:line="240" w:lineRule="auto"/>
              <w:jc w:val="right"/>
            </w:pPr>
            <w:r>
              <w:t xml:space="preserve">Gestalt design </w:t>
            </w:r>
          </w:p>
          <w:p w14:paraId="1D4575D8" w14:textId="77777777" w:rsidR="00B95579" w:rsidRDefault="000076CB">
            <w:pPr>
              <w:widowControl w:val="0"/>
              <w:pBdr>
                <w:top w:val="nil"/>
                <w:left w:val="nil"/>
                <w:bottom w:val="nil"/>
                <w:right w:val="nil"/>
                <w:between w:val="nil"/>
              </w:pBdr>
              <w:spacing w:line="240" w:lineRule="auto"/>
              <w:jc w:val="right"/>
            </w:pPr>
            <w:r>
              <w:t>principles</w:t>
            </w:r>
          </w:p>
        </w:tc>
        <w:tc>
          <w:tcPr>
            <w:tcW w:w="6810" w:type="dxa"/>
            <w:shd w:val="clear" w:color="auto" w:fill="auto"/>
            <w:tcMar>
              <w:top w:w="100" w:type="dxa"/>
              <w:left w:w="100" w:type="dxa"/>
              <w:bottom w:w="100" w:type="dxa"/>
              <w:right w:w="100" w:type="dxa"/>
            </w:tcMar>
          </w:tcPr>
          <w:p w14:paraId="0CC6A036" w14:textId="77777777" w:rsidR="00B95579" w:rsidRDefault="000076CB">
            <w:pPr>
              <w:widowControl w:val="0"/>
              <w:pBdr>
                <w:top w:val="nil"/>
                <w:left w:val="nil"/>
                <w:bottom w:val="nil"/>
                <w:right w:val="nil"/>
                <w:between w:val="nil"/>
              </w:pBdr>
              <w:spacing w:line="240" w:lineRule="auto"/>
            </w:pPr>
            <w:r>
              <w:t xml:space="preserve">Proximity is used to group together bars related to the same housing type. </w:t>
            </w:r>
          </w:p>
          <w:p w14:paraId="3AFCE8B2" w14:textId="77777777" w:rsidR="00B95579" w:rsidRDefault="000076CB">
            <w:pPr>
              <w:widowControl w:val="0"/>
              <w:pBdr>
                <w:top w:val="nil"/>
                <w:left w:val="nil"/>
                <w:bottom w:val="nil"/>
                <w:right w:val="nil"/>
                <w:between w:val="nil"/>
              </w:pBdr>
              <w:spacing w:line="240" w:lineRule="auto"/>
            </w:pPr>
            <w:r>
              <w:t>Alignment is used to clearly visualize that London housing is significantly more expensive than housing in Newcastle upon Tyne, as well as that detached housing is more expensive than semi-detached, which in turn is more expensive than terraced housing, which in turn is more expensive than flats.</w:t>
            </w:r>
          </w:p>
          <w:p w14:paraId="1377CD88" w14:textId="77777777" w:rsidR="00B95579" w:rsidRDefault="000076CB">
            <w:pPr>
              <w:widowControl w:val="0"/>
              <w:pBdr>
                <w:top w:val="nil"/>
                <w:left w:val="nil"/>
                <w:bottom w:val="nil"/>
                <w:right w:val="nil"/>
                <w:between w:val="nil"/>
              </w:pBdr>
              <w:spacing w:line="240" w:lineRule="auto"/>
            </w:pPr>
            <w:r>
              <w:t>The bars appear to share a common baseline using continuity on the x-axis.</w:t>
            </w:r>
          </w:p>
          <w:p w14:paraId="76149E37" w14:textId="77777777" w:rsidR="00B95579" w:rsidRDefault="000076CB">
            <w:pPr>
              <w:widowControl w:val="0"/>
              <w:pBdr>
                <w:top w:val="nil"/>
                <w:left w:val="nil"/>
                <w:bottom w:val="nil"/>
                <w:right w:val="nil"/>
                <w:between w:val="nil"/>
              </w:pBdr>
              <w:spacing w:line="240" w:lineRule="auto"/>
            </w:pPr>
            <w:r>
              <w:t>Similarity is used to group together bars from different housing categories by year.</w:t>
            </w:r>
          </w:p>
          <w:p w14:paraId="10068C95" w14:textId="77777777" w:rsidR="00B95579" w:rsidRDefault="000076CB">
            <w:pPr>
              <w:widowControl w:val="0"/>
              <w:pBdr>
                <w:top w:val="nil"/>
                <w:left w:val="nil"/>
                <w:bottom w:val="nil"/>
                <w:right w:val="nil"/>
                <w:between w:val="nil"/>
              </w:pBdr>
              <w:spacing w:line="240" w:lineRule="auto"/>
            </w:pPr>
            <w:r>
              <w:t>Contrast is used to clearly separate the bars from the background.</w:t>
            </w:r>
          </w:p>
        </w:tc>
      </w:tr>
      <w:tr w:rsidR="00B95579" w14:paraId="053224FE" w14:textId="77777777">
        <w:trPr>
          <w:trHeight w:val="420"/>
          <w:jc w:val="center"/>
        </w:trPr>
        <w:tc>
          <w:tcPr>
            <w:tcW w:w="1935" w:type="dxa"/>
            <w:vMerge/>
            <w:shd w:val="clear" w:color="auto" w:fill="auto"/>
            <w:tcMar>
              <w:top w:w="100" w:type="dxa"/>
              <w:left w:w="100" w:type="dxa"/>
              <w:bottom w:w="100" w:type="dxa"/>
              <w:right w:w="100" w:type="dxa"/>
            </w:tcMar>
          </w:tcPr>
          <w:p w14:paraId="0BAEDD39" w14:textId="77777777" w:rsidR="00B95579" w:rsidRDefault="00B95579">
            <w:pPr>
              <w:widowControl w:val="0"/>
              <w:pBdr>
                <w:top w:val="nil"/>
                <w:left w:val="nil"/>
                <w:bottom w:val="nil"/>
                <w:right w:val="nil"/>
                <w:between w:val="nil"/>
              </w:pBdr>
              <w:spacing w:line="240" w:lineRule="auto"/>
            </w:pPr>
          </w:p>
        </w:tc>
        <w:tc>
          <w:tcPr>
            <w:tcW w:w="2040" w:type="dxa"/>
            <w:shd w:val="clear" w:color="auto" w:fill="auto"/>
            <w:tcMar>
              <w:top w:w="100" w:type="dxa"/>
              <w:left w:w="100" w:type="dxa"/>
              <w:bottom w:w="100" w:type="dxa"/>
              <w:right w:w="100" w:type="dxa"/>
            </w:tcMar>
          </w:tcPr>
          <w:p w14:paraId="4E6978A5" w14:textId="77777777" w:rsidR="00B95579" w:rsidRDefault="000076CB">
            <w:pPr>
              <w:widowControl w:val="0"/>
              <w:pBdr>
                <w:top w:val="nil"/>
                <w:left w:val="nil"/>
                <w:bottom w:val="nil"/>
                <w:right w:val="nil"/>
                <w:between w:val="nil"/>
              </w:pBdr>
              <w:spacing w:line="240" w:lineRule="auto"/>
              <w:jc w:val="right"/>
            </w:pPr>
            <w:r>
              <w:t xml:space="preserve">Use of </w:t>
            </w:r>
            <w:proofErr w:type="spellStart"/>
            <w:r>
              <w:t>colour</w:t>
            </w:r>
            <w:proofErr w:type="spellEnd"/>
          </w:p>
        </w:tc>
        <w:tc>
          <w:tcPr>
            <w:tcW w:w="6810" w:type="dxa"/>
            <w:shd w:val="clear" w:color="auto" w:fill="auto"/>
            <w:tcMar>
              <w:top w:w="100" w:type="dxa"/>
              <w:left w:w="100" w:type="dxa"/>
              <w:bottom w:w="100" w:type="dxa"/>
              <w:right w:w="100" w:type="dxa"/>
            </w:tcMar>
          </w:tcPr>
          <w:p w14:paraId="3F4640D6" w14:textId="77777777" w:rsidR="00B95579" w:rsidRDefault="000076CB">
            <w:pPr>
              <w:widowControl w:val="0"/>
              <w:pBdr>
                <w:top w:val="nil"/>
                <w:left w:val="nil"/>
                <w:bottom w:val="nil"/>
                <w:right w:val="nil"/>
                <w:between w:val="nil"/>
              </w:pBdr>
              <w:spacing w:line="240" w:lineRule="auto"/>
            </w:pPr>
            <w:r>
              <w:t xml:space="preserve">A tetradic </w:t>
            </w:r>
            <w:proofErr w:type="spellStart"/>
            <w:r>
              <w:t>colour</w:t>
            </w:r>
            <w:proofErr w:type="spellEnd"/>
            <w:r>
              <w:t xml:space="preserve"> set was used, consisting of four </w:t>
            </w:r>
            <w:proofErr w:type="spellStart"/>
            <w:r>
              <w:t>colours</w:t>
            </w:r>
            <w:proofErr w:type="spellEnd"/>
            <w:r>
              <w:t xml:space="preserve"> separated </w:t>
            </w:r>
            <w:r>
              <w:rPr>
                <w:rFonts w:ascii="Roboto" w:eastAsia="Roboto" w:hAnsi="Roboto" w:cs="Roboto"/>
                <w:sz w:val="21"/>
                <w:szCs w:val="21"/>
                <w:highlight w:val="white"/>
              </w:rPr>
              <w:t>by 60 degrees of hue</w:t>
            </w:r>
            <w:r>
              <w:t xml:space="preserve">: Stiletto, Sushi, Keppel, and Royal Purple. This ensures minimal information loss for users with dichromatic </w:t>
            </w:r>
            <w:proofErr w:type="spellStart"/>
            <w:r>
              <w:t>colour</w:t>
            </w:r>
            <w:proofErr w:type="spellEnd"/>
            <w:r>
              <w:t xml:space="preserve"> blindness and makes the visualizations more aesthetically pleasing.</w:t>
            </w:r>
          </w:p>
        </w:tc>
      </w:tr>
      <w:tr w:rsidR="00B95579" w14:paraId="73FC064B" w14:textId="77777777">
        <w:trPr>
          <w:trHeight w:val="420"/>
          <w:jc w:val="center"/>
        </w:trPr>
        <w:tc>
          <w:tcPr>
            <w:tcW w:w="1935" w:type="dxa"/>
            <w:vMerge/>
            <w:shd w:val="clear" w:color="auto" w:fill="auto"/>
            <w:tcMar>
              <w:top w:w="100" w:type="dxa"/>
              <w:left w:w="100" w:type="dxa"/>
              <w:bottom w:w="100" w:type="dxa"/>
              <w:right w:w="100" w:type="dxa"/>
            </w:tcMar>
          </w:tcPr>
          <w:p w14:paraId="6FC1D02E" w14:textId="77777777" w:rsidR="00B95579" w:rsidRDefault="00B95579">
            <w:pPr>
              <w:widowControl w:val="0"/>
              <w:pBdr>
                <w:top w:val="nil"/>
                <w:left w:val="nil"/>
                <w:bottom w:val="nil"/>
                <w:right w:val="nil"/>
                <w:between w:val="nil"/>
              </w:pBdr>
              <w:spacing w:line="240" w:lineRule="auto"/>
            </w:pPr>
          </w:p>
        </w:tc>
        <w:tc>
          <w:tcPr>
            <w:tcW w:w="2040" w:type="dxa"/>
            <w:shd w:val="clear" w:color="auto" w:fill="auto"/>
            <w:tcMar>
              <w:top w:w="100" w:type="dxa"/>
              <w:left w:w="100" w:type="dxa"/>
              <w:bottom w:w="100" w:type="dxa"/>
              <w:right w:w="100" w:type="dxa"/>
            </w:tcMar>
          </w:tcPr>
          <w:p w14:paraId="795C5F7B" w14:textId="77777777" w:rsidR="00B95579" w:rsidRDefault="000076CB">
            <w:pPr>
              <w:widowControl w:val="0"/>
              <w:spacing w:line="240" w:lineRule="auto"/>
              <w:jc w:val="right"/>
            </w:pPr>
            <w:r>
              <w:t xml:space="preserve">Use of language in the visual and </w:t>
            </w:r>
          </w:p>
          <w:p w14:paraId="67C7EBBD" w14:textId="77777777" w:rsidR="00B95579" w:rsidRDefault="000076CB">
            <w:pPr>
              <w:widowControl w:val="0"/>
              <w:pBdr>
                <w:top w:val="nil"/>
                <w:left w:val="nil"/>
                <w:bottom w:val="nil"/>
                <w:right w:val="nil"/>
                <w:between w:val="nil"/>
              </w:pBdr>
              <w:spacing w:line="240" w:lineRule="auto"/>
              <w:jc w:val="right"/>
            </w:pPr>
            <w:r>
              <w:t xml:space="preserve">narrative in the </w:t>
            </w:r>
          </w:p>
          <w:p w14:paraId="7BABADD0" w14:textId="77777777" w:rsidR="00B95579" w:rsidRDefault="000076CB">
            <w:pPr>
              <w:widowControl w:val="0"/>
              <w:pBdr>
                <w:top w:val="nil"/>
                <w:left w:val="nil"/>
                <w:bottom w:val="nil"/>
                <w:right w:val="nil"/>
                <w:between w:val="nil"/>
              </w:pBdr>
              <w:spacing w:line="240" w:lineRule="auto"/>
              <w:jc w:val="right"/>
            </w:pPr>
            <w:r>
              <w:t>caption.</w:t>
            </w:r>
          </w:p>
        </w:tc>
        <w:tc>
          <w:tcPr>
            <w:tcW w:w="6810" w:type="dxa"/>
            <w:shd w:val="clear" w:color="auto" w:fill="auto"/>
            <w:tcMar>
              <w:top w:w="100" w:type="dxa"/>
              <w:left w:w="100" w:type="dxa"/>
              <w:bottom w:w="100" w:type="dxa"/>
              <w:right w:w="100" w:type="dxa"/>
            </w:tcMar>
          </w:tcPr>
          <w:p w14:paraId="043803F2" w14:textId="77777777" w:rsidR="00B95579" w:rsidRDefault="000076CB">
            <w:pPr>
              <w:widowControl w:val="0"/>
              <w:pBdr>
                <w:top w:val="nil"/>
                <w:left w:val="nil"/>
                <w:bottom w:val="nil"/>
                <w:right w:val="nil"/>
                <w:between w:val="nil"/>
              </w:pBdr>
              <w:spacing w:line="240" w:lineRule="auto"/>
            </w:pPr>
            <w:r>
              <w:t xml:space="preserve">Clear and concise labelling is used to entitle the whole figure, as well as the two individual bar charts. The y-axis is also labelled with the ticks marking the price in pound sterling (£). </w:t>
            </w:r>
          </w:p>
        </w:tc>
      </w:tr>
      <w:tr w:rsidR="00B95579" w14:paraId="15964E12" w14:textId="77777777">
        <w:trPr>
          <w:trHeight w:val="420"/>
          <w:jc w:val="center"/>
        </w:trPr>
        <w:tc>
          <w:tcPr>
            <w:tcW w:w="1935" w:type="dxa"/>
            <w:vMerge w:val="restart"/>
            <w:shd w:val="clear" w:color="auto" w:fill="auto"/>
            <w:tcMar>
              <w:top w:w="100" w:type="dxa"/>
              <w:left w:w="100" w:type="dxa"/>
              <w:bottom w:w="100" w:type="dxa"/>
              <w:right w:w="100" w:type="dxa"/>
            </w:tcMar>
          </w:tcPr>
          <w:p w14:paraId="268A71F8" w14:textId="77777777" w:rsidR="00B95579" w:rsidRDefault="000076CB">
            <w:pPr>
              <w:widowControl w:val="0"/>
              <w:pBdr>
                <w:top w:val="nil"/>
                <w:left w:val="nil"/>
                <w:bottom w:val="nil"/>
                <w:right w:val="nil"/>
                <w:between w:val="nil"/>
              </w:pBdr>
              <w:spacing w:line="240" w:lineRule="auto"/>
            </w:pPr>
            <w:r>
              <w:rPr>
                <w:b/>
              </w:rPr>
              <w:t>B</w:t>
            </w:r>
            <w:r>
              <w:t xml:space="preserve"> Broadband performance data</w:t>
            </w:r>
          </w:p>
        </w:tc>
        <w:tc>
          <w:tcPr>
            <w:tcW w:w="2040" w:type="dxa"/>
            <w:shd w:val="clear" w:color="auto" w:fill="auto"/>
            <w:tcMar>
              <w:top w:w="100" w:type="dxa"/>
              <w:left w:w="100" w:type="dxa"/>
              <w:bottom w:w="100" w:type="dxa"/>
              <w:right w:w="100" w:type="dxa"/>
            </w:tcMar>
          </w:tcPr>
          <w:p w14:paraId="28430159" w14:textId="77777777" w:rsidR="00B95579" w:rsidRDefault="000076CB">
            <w:pPr>
              <w:widowControl w:val="0"/>
              <w:spacing w:line="240" w:lineRule="auto"/>
              <w:jc w:val="right"/>
            </w:pPr>
            <w:r>
              <w:t xml:space="preserve">Use of visual </w:t>
            </w:r>
          </w:p>
          <w:p w14:paraId="2D978D66" w14:textId="77777777" w:rsidR="00B95579" w:rsidRDefault="000076CB">
            <w:pPr>
              <w:widowControl w:val="0"/>
              <w:spacing w:line="240" w:lineRule="auto"/>
              <w:jc w:val="right"/>
            </w:pPr>
            <w:r>
              <w:t>channels</w:t>
            </w:r>
          </w:p>
        </w:tc>
        <w:tc>
          <w:tcPr>
            <w:tcW w:w="6810" w:type="dxa"/>
            <w:shd w:val="clear" w:color="auto" w:fill="auto"/>
            <w:tcMar>
              <w:top w:w="100" w:type="dxa"/>
              <w:left w:w="100" w:type="dxa"/>
              <w:bottom w:w="100" w:type="dxa"/>
              <w:right w:w="100" w:type="dxa"/>
            </w:tcMar>
          </w:tcPr>
          <w:p w14:paraId="2A184245" w14:textId="77777777" w:rsidR="00B95579" w:rsidRDefault="000076CB">
            <w:pPr>
              <w:widowControl w:val="0"/>
              <w:pBdr>
                <w:top w:val="nil"/>
                <w:left w:val="nil"/>
                <w:bottom w:val="nil"/>
                <w:right w:val="nil"/>
                <w:between w:val="nil"/>
              </w:pBdr>
              <w:spacing w:line="240" w:lineRule="auto"/>
            </w:pPr>
            <w:r>
              <w:t xml:space="preserve">A scatter plot is used to visualize the relationship between the broadband upload and download speeds, in various regions of the UK. The linear regression of the data points is visualized as a red line. The data points are slightly transparent with a thin black border to make discerning individual data points easier. </w:t>
            </w:r>
          </w:p>
          <w:p w14:paraId="7FB31E17" w14:textId="77777777" w:rsidR="00B95579" w:rsidRDefault="000076CB">
            <w:pPr>
              <w:widowControl w:val="0"/>
              <w:pBdr>
                <w:top w:val="nil"/>
                <w:left w:val="nil"/>
                <w:bottom w:val="nil"/>
                <w:right w:val="nil"/>
                <w:between w:val="nil"/>
              </w:pBdr>
              <w:spacing w:line="240" w:lineRule="auto"/>
            </w:pPr>
            <w:r>
              <w:t xml:space="preserve">The points are also categorized by download speed using a categorical </w:t>
            </w:r>
            <w:proofErr w:type="spellStart"/>
            <w:r>
              <w:t>colour</w:t>
            </w:r>
            <w:proofErr w:type="spellEnd"/>
            <w:r>
              <w:t xml:space="preserve"> palette. The two most severe outliers are labelled with descriptions of their city, average upload and download speeds.</w:t>
            </w:r>
          </w:p>
        </w:tc>
      </w:tr>
      <w:tr w:rsidR="00B95579" w14:paraId="317B35DC" w14:textId="77777777">
        <w:trPr>
          <w:trHeight w:val="420"/>
          <w:jc w:val="center"/>
        </w:trPr>
        <w:tc>
          <w:tcPr>
            <w:tcW w:w="1935" w:type="dxa"/>
            <w:vMerge/>
            <w:shd w:val="clear" w:color="auto" w:fill="auto"/>
            <w:tcMar>
              <w:top w:w="100" w:type="dxa"/>
              <w:left w:w="100" w:type="dxa"/>
              <w:bottom w:w="100" w:type="dxa"/>
              <w:right w:w="100" w:type="dxa"/>
            </w:tcMar>
          </w:tcPr>
          <w:p w14:paraId="423DC9CD" w14:textId="77777777" w:rsidR="00B95579" w:rsidRDefault="00B95579">
            <w:pPr>
              <w:widowControl w:val="0"/>
              <w:pBdr>
                <w:top w:val="nil"/>
                <w:left w:val="nil"/>
                <w:bottom w:val="nil"/>
                <w:right w:val="nil"/>
                <w:between w:val="nil"/>
              </w:pBdr>
              <w:spacing w:line="240" w:lineRule="auto"/>
            </w:pPr>
          </w:p>
        </w:tc>
        <w:tc>
          <w:tcPr>
            <w:tcW w:w="2040" w:type="dxa"/>
            <w:shd w:val="clear" w:color="auto" w:fill="auto"/>
            <w:tcMar>
              <w:top w:w="100" w:type="dxa"/>
              <w:left w:w="100" w:type="dxa"/>
              <w:bottom w:w="100" w:type="dxa"/>
              <w:right w:w="100" w:type="dxa"/>
            </w:tcMar>
          </w:tcPr>
          <w:p w14:paraId="57739F54" w14:textId="77777777" w:rsidR="00B95579" w:rsidRDefault="000076CB">
            <w:pPr>
              <w:widowControl w:val="0"/>
              <w:spacing w:line="240" w:lineRule="auto"/>
              <w:jc w:val="right"/>
            </w:pPr>
            <w:r>
              <w:t xml:space="preserve">Gestalt design </w:t>
            </w:r>
          </w:p>
          <w:p w14:paraId="09B43BE6" w14:textId="77777777" w:rsidR="00B95579" w:rsidRDefault="000076CB">
            <w:pPr>
              <w:widowControl w:val="0"/>
              <w:spacing w:line="240" w:lineRule="auto"/>
              <w:jc w:val="right"/>
            </w:pPr>
            <w:r>
              <w:t>principles</w:t>
            </w:r>
          </w:p>
        </w:tc>
        <w:tc>
          <w:tcPr>
            <w:tcW w:w="6810" w:type="dxa"/>
            <w:shd w:val="clear" w:color="auto" w:fill="auto"/>
            <w:tcMar>
              <w:top w:w="100" w:type="dxa"/>
              <w:left w:w="100" w:type="dxa"/>
              <w:bottom w:w="100" w:type="dxa"/>
              <w:right w:w="100" w:type="dxa"/>
            </w:tcMar>
          </w:tcPr>
          <w:p w14:paraId="626AACFC" w14:textId="77777777" w:rsidR="00B95579" w:rsidRDefault="000076CB">
            <w:pPr>
              <w:widowControl w:val="0"/>
              <w:pBdr>
                <w:top w:val="nil"/>
                <w:left w:val="nil"/>
                <w:bottom w:val="nil"/>
                <w:right w:val="nil"/>
                <w:between w:val="nil"/>
              </w:pBdr>
              <w:spacing w:line="240" w:lineRule="auto"/>
            </w:pPr>
            <w:r>
              <w:t>Similarity and proximity are used to group data points together, whereas contrast is used to separate the groups apart.</w:t>
            </w:r>
          </w:p>
        </w:tc>
      </w:tr>
      <w:tr w:rsidR="00B95579" w14:paraId="09AA8DBE" w14:textId="77777777">
        <w:trPr>
          <w:trHeight w:val="420"/>
          <w:jc w:val="center"/>
        </w:trPr>
        <w:tc>
          <w:tcPr>
            <w:tcW w:w="1935" w:type="dxa"/>
            <w:vMerge/>
            <w:shd w:val="clear" w:color="auto" w:fill="auto"/>
            <w:tcMar>
              <w:top w:w="100" w:type="dxa"/>
              <w:left w:w="100" w:type="dxa"/>
              <w:bottom w:w="100" w:type="dxa"/>
              <w:right w:w="100" w:type="dxa"/>
            </w:tcMar>
          </w:tcPr>
          <w:p w14:paraId="5ECE0B7E" w14:textId="77777777" w:rsidR="00B95579" w:rsidRDefault="00B95579">
            <w:pPr>
              <w:widowControl w:val="0"/>
              <w:pBdr>
                <w:top w:val="nil"/>
                <w:left w:val="nil"/>
                <w:bottom w:val="nil"/>
                <w:right w:val="nil"/>
                <w:between w:val="nil"/>
              </w:pBdr>
              <w:spacing w:line="240" w:lineRule="auto"/>
            </w:pPr>
          </w:p>
        </w:tc>
        <w:tc>
          <w:tcPr>
            <w:tcW w:w="2040" w:type="dxa"/>
            <w:shd w:val="clear" w:color="auto" w:fill="auto"/>
            <w:tcMar>
              <w:top w:w="100" w:type="dxa"/>
              <w:left w:w="100" w:type="dxa"/>
              <w:bottom w:w="100" w:type="dxa"/>
              <w:right w:w="100" w:type="dxa"/>
            </w:tcMar>
          </w:tcPr>
          <w:p w14:paraId="219BC10F" w14:textId="77777777" w:rsidR="00B95579" w:rsidRDefault="000076CB">
            <w:pPr>
              <w:widowControl w:val="0"/>
              <w:spacing w:line="240" w:lineRule="auto"/>
              <w:jc w:val="right"/>
            </w:pPr>
            <w:r>
              <w:t xml:space="preserve">Use of </w:t>
            </w:r>
            <w:proofErr w:type="spellStart"/>
            <w:r>
              <w:t>colour</w:t>
            </w:r>
            <w:proofErr w:type="spellEnd"/>
          </w:p>
        </w:tc>
        <w:tc>
          <w:tcPr>
            <w:tcW w:w="6810" w:type="dxa"/>
            <w:shd w:val="clear" w:color="auto" w:fill="auto"/>
            <w:tcMar>
              <w:top w:w="100" w:type="dxa"/>
              <w:left w:w="100" w:type="dxa"/>
              <w:bottom w:w="100" w:type="dxa"/>
              <w:right w:w="100" w:type="dxa"/>
            </w:tcMar>
          </w:tcPr>
          <w:p w14:paraId="6F4A1F95" w14:textId="77777777" w:rsidR="00B95579" w:rsidRDefault="000076CB">
            <w:pPr>
              <w:widowControl w:val="0"/>
              <w:pBdr>
                <w:top w:val="nil"/>
                <w:left w:val="nil"/>
                <w:bottom w:val="nil"/>
                <w:right w:val="nil"/>
                <w:between w:val="nil"/>
              </w:pBdr>
              <w:spacing w:line="240" w:lineRule="auto"/>
            </w:pPr>
            <w:r>
              <w:t xml:space="preserve">A semi-transparent categorical </w:t>
            </w:r>
            <w:proofErr w:type="spellStart"/>
            <w:r>
              <w:t>colour</w:t>
            </w:r>
            <w:proofErr w:type="spellEnd"/>
            <w:r>
              <w:t xml:space="preserve"> palette is used to group the data points, with two outliers </w:t>
            </w:r>
            <w:proofErr w:type="spellStart"/>
            <w:r>
              <w:t>coloured</w:t>
            </w:r>
            <w:proofErr w:type="spellEnd"/>
            <w:r>
              <w:t xml:space="preserve"> in non-transparent red to stand out. </w:t>
            </w:r>
          </w:p>
        </w:tc>
      </w:tr>
      <w:tr w:rsidR="00B95579" w14:paraId="5838AF16" w14:textId="77777777">
        <w:trPr>
          <w:trHeight w:val="420"/>
          <w:jc w:val="center"/>
        </w:trPr>
        <w:tc>
          <w:tcPr>
            <w:tcW w:w="1935" w:type="dxa"/>
            <w:vMerge/>
            <w:shd w:val="clear" w:color="auto" w:fill="auto"/>
            <w:tcMar>
              <w:top w:w="100" w:type="dxa"/>
              <w:left w:w="100" w:type="dxa"/>
              <w:bottom w:w="100" w:type="dxa"/>
              <w:right w:w="100" w:type="dxa"/>
            </w:tcMar>
          </w:tcPr>
          <w:p w14:paraId="6F0C7A2D" w14:textId="77777777" w:rsidR="00B95579" w:rsidRDefault="00B95579">
            <w:pPr>
              <w:widowControl w:val="0"/>
              <w:pBdr>
                <w:top w:val="nil"/>
                <w:left w:val="nil"/>
                <w:bottom w:val="nil"/>
                <w:right w:val="nil"/>
                <w:between w:val="nil"/>
              </w:pBdr>
              <w:spacing w:line="240" w:lineRule="auto"/>
            </w:pPr>
          </w:p>
        </w:tc>
        <w:tc>
          <w:tcPr>
            <w:tcW w:w="2040" w:type="dxa"/>
            <w:shd w:val="clear" w:color="auto" w:fill="auto"/>
            <w:tcMar>
              <w:top w:w="100" w:type="dxa"/>
              <w:left w:w="100" w:type="dxa"/>
              <w:bottom w:w="100" w:type="dxa"/>
              <w:right w:w="100" w:type="dxa"/>
            </w:tcMar>
          </w:tcPr>
          <w:p w14:paraId="4CB80D7A" w14:textId="77777777" w:rsidR="00B95579" w:rsidRDefault="000076CB">
            <w:pPr>
              <w:widowControl w:val="0"/>
              <w:spacing w:line="240" w:lineRule="auto"/>
              <w:jc w:val="right"/>
            </w:pPr>
            <w:r>
              <w:t xml:space="preserve">Use of language in the visual and </w:t>
            </w:r>
          </w:p>
          <w:p w14:paraId="4BE9E859" w14:textId="77777777" w:rsidR="00B95579" w:rsidRDefault="000076CB">
            <w:pPr>
              <w:widowControl w:val="0"/>
              <w:spacing w:line="240" w:lineRule="auto"/>
              <w:jc w:val="right"/>
            </w:pPr>
            <w:r>
              <w:t xml:space="preserve">narrative in the </w:t>
            </w:r>
          </w:p>
          <w:p w14:paraId="67836ECE" w14:textId="77777777" w:rsidR="00B95579" w:rsidRDefault="000076CB">
            <w:pPr>
              <w:widowControl w:val="0"/>
              <w:spacing w:line="240" w:lineRule="auto"/>
              <w:jc w:val="right"/>
            </w:pPr>
            <w:r>
              <w:t>caption.</w:t>
            </w:r>
          </w:p>
        </w:tc>
        <w:tc>
          <w:tcPr>
            <w:tcW w:w="6810" w:type="dxa"/>
            <w:shd w:val="clear" w:color="auto" w:fill="auto"/>
            <w:tcMar>
              <w:top w:w="100" w:type="dxa"/>
              <w:left w:w="100" w:type="dxa"/>
              <w:bottom w:w="100" w:type="dxa"/>
              <w:right w:w="100" w:type="dxa"/>
            </w:tcMar>
          </w:tcPr>
          <w:p w14:paraId="383EB1D3" w14:textId="77777777" w:rsidR="00B95579" w:rsidRDefault="000076CB">
            <w:pPr>
              <w:widowControl w:val="0"/>
              <w:pBdr>
                <w:top w:val="nil"/>
                <w:left w:val="nil"/>
                <w:bottom w:val="nil"/>
                <w:right w:val="nil"/>
                <w:between w:val="nil"/>
              </w:pBdr>
              <w:spacing w:line="240" w:lineRule="auto"/>
            </w:pPr>
            <w:r>
              <w:t>The scatter plot is clearly entitled, with labels on both x and y axes. The outliers are labelled with detailed information about them, and a correlation value is written at the top left corner of the plot.</w:t>
            </w:r>
          </w:p>
        </w:tc>
      </w:tr>
      <w:tr w:rsidR="00B95579" w14:paraId="2B0E4372" w14:textId="77777777">
        <w:trPr>
          <w:trHeight w:val="420"/>
          <w:jc w:val="center"/>
        </w:trPr>
        <w:tc>
          <w:tcPr>
            <w:tcW w:w="1935" w:type="dxa"/>
            <w:vMerge w:val="restart"/>
            <w:shd w:val="clear" w:color="auto" w:fill="auto"/>
            <w:tcMar>
              <w:top w:w="100" w:type="dxa"/>
              <w:left w:w="100" w:type="dxa"/>
              <w:bottom w:w="100" w:type="dxa"/>
              <w:right w:w="100" w:type="dxa"/>
            </w:tcMar>
          </w:tcPr>
          <w:p w14:paraId="11A1CB1E" w14:textId="77777777" w:rsidR="00B95579" w:rsidRDefault="000076CB">
            <w:pPr>
              <w:widowControl w:val="0"/>
              <w:pBdr>
                <w:top w:val="nil"/>
                <w:left w:val="nil"/>
                <w:bottom w:val="nil"/>
                <w:right w:val="nil"/>
                <w:between w:val="nil"/>
              </w:pBdr>
              <w:spacing w:line="240" w:lineRule="auto"/>
            </w:pPr>
            <w:r>
              <w:rPr>
                <w:b/>
              </w:rPr>
              <w:lastRenderedPageBreak/>
              <w:t>C</w:t>
            </w:r>
            <w:r>
              <w:t xml:space="preserve"> Financial time-series data</w:t>
            </w:r>
          </w:p>
        </w:tc>
        <w:tc>
          <w:tcPr>
            <w:tcW w:w="2040" w:type="dxa"/>
            <w:shd w:val="clear" w:color="auto" w:fill="auto"/>
            <w:tcMar>
              <w:top w:w="100" w:type="dxa"/>
              <w:left w:w="100" w:type="dxa"/>
              <w:bottom w:w="100" w:type="dxa"/>
              <w:right w:w="100" w:type="dxa"/>
            </w:tcMar>
          </w:tcPr>
          <w:p w14:paraId="06F9F580" w14:textId="77777777" w:rsidR="00B95579" w:rsidRDefault="000076CB">
            <w:pPr>
              <w:widowControl w:val="0"/>
              <w:spacing w:line="240" w:lineRule="auto"/>
              <w:jc w:val="right"/>
            </w:pPr>
            <w:r>
              <w:t xml:space="preserve">Use of visual </w:t>
            </w:r>
          </w:p>
          <w:p w14:paraId="3E4BDA6F" w14:textId="77777777" w:rsidR="00B95579" w:rsidRDefault="000076CB">
            <w:pPr>
              <w:widowControl w:val="0"/>
              <w:spacing w:line="240" w:lineRule="auto"/>
              <w:jc w:val="right"/>
            </w:pPr>
            <w:r>
              <w:t>channels</w:t>
            </w:r>
          </w:p>
        </w:tc>
        <w:tc>
          <w:tcPr>
            <w:tcW w:w="6810" w:type="dxa"/>
            <w:shd w:val="clear" w:color="auto" w:fill="auto"/>
            <w:tcMar>
              <w:top w:w="100" w:type="dxa"/>
              <w:left w:w="100" w:type="dxa"/>
              <w:bottom w:w="100" w:type="dxa"/>
              <w:right w:w="100" w:type="dxa"/>
            </w:tcMar>
          </w:tcPr>
          <w:p w14:paraId="7F07B13B" w14:textId="77777777" w:rsidR="00B95579" w:rsidRDefault="000076CB">
            <w:pPr>
              <w:widowControl w:val="0"/>
              <w:pBdr>
                <w:top w:val="nil"/>
                <w:left w:val="nil"/>
                <w:bottom w:val="nil"/>
                <w:right w:val="nil"/>
                <w:between w:val="nil"/>
              </w:pBdr>
              <w:spacing w:line="240" w:lineRule="auto"/>
            </w:pPr>
            <w:r>
              <w:t xml:space="preserve">An OHLC (Open, High, Low, Close) chart is used to visualize a time series of the FTSE index between February 1st, </w:t>
            </w:r>
            <w:proofErr w:type="gramStart"/>
            <w:r>
              <w:t>2020</w:t>
            </w:r>
            <w:proofErr w:type="gramEnd"/>
            <w:r>
              <w:t xml:space="preserve"> and January 1st, 2021. An orange line visualizes the SMA (Simple Moving Average). Two dark blue lines are used to show Bollinger Bands, and the space between them is filled in in a semi-transparent blue hue.</w:t>
            </w:r>
          </w:p>
          <w:p w14:paraId="65272DA0" w14:textId="77777777" w:rsidR="00B95579" w:rsidRDefault="000076CB">
            <w:pPr>
              <w:widowControl w:val="0"/>
              <w:pBdr>
                <w:top w:val="nil"/>
                <w:left w:val="nil"/>
                <w:bottom w:val="nil"/>
                <w:right w:val="nil"/>
                <w:between w:val="nil"/>
              </w:pBdr>
              <w:spacing w:line="240" w:lineRule="auto"/>
            </w:pPr>
            <w:r>
              <w:t>A semi-transparent, grey, filled line plot is used to visualize the trading volume of the FTSE index.</w:t>
            </w:r>
          </w:p>
        </w:tc>
      </w:tr>
      <w:tr w:rsidR="00B95579" w14:paraId="4139619B" w14:textId="77777777">
        <w:trPr>
          <w:trHeight w:val="420"/>
          <w:jc w:val="center"/>
        </w:trPr>
        <w:tc>
          <w:tcPr>
            <w:tcW w:w="1935" w:type="dxa"/>
            <w:vMerge/>
            <w:shd w:val="clear" w:color="auto" w:fill="auto"/>
            <w:tcMar>
              <w:top w:w="100" w:type="dxa"/>
              <w:left w:w="100" w:type="dxa"/>
              <w:bottom w:w="100" w:type="dxa"/>
              <w:right w:w="100" w:type="dxa"/>
            </w:tcMar>
          </w:tcPr>
          <w:p w14:paraId="5D3E2A9A" w14:textId="77777777" w:rsidR="00B95579" w:rsidRDefault="00B95579">
            <w:pPr>
              <w:widowControl w:val="0"/>
              <w:pBdr>
                <w:top w:val="nil"/>
                <w:left w:val="nil"/>
                <w:bottom w:val="nil"/>
                <w:right w:val="nil"/>
                <w:between w:val="nil"/>
              </w:pBdr>
              <w:spacing w:line="240" w:lineRule="auto"/>
            </w:pPr>
          </w:p>
        </w:tc>
        <w:tc>
          <w:tcPr>
            <w:tcW w:w="2040" w:type="dxa"/>
            <w:shd w:val="clear" w:color="auto" w:fill="auto"/>
            <w:tcMar>
              <w:top w:w="100" w:type="dxa"/>
              <w:left w:w="100" w:type="dxa"/>
              <w:bottom w:w="100" w:type="dxa"/>
              <w:right w:w="100" w:type="dxa"/>
            </w:tcMar>
          </w:tcPr>
          <w:p w14:paraId="34F54D02" w14:textId="77777777" w:rsidR="00B95579" w:rsidRDefault="000076CB">
            <w:pPr>
              <w:widowControl w:val="0"/>
              <w:spacing w:line="240" w:lineRule="auto"/>
              <w:jc w:val="right"/>
            </w:pPr>
            <w:r>
              <w:t xml:space="preserve">Gestalt design </w:t>
            </w:r>
          </w:p>
          <w:p w14:paraId="41981141" w14:textId="77777777" w:rsidR="00B95579" w:rsidRDefault="000076CB">
            <w:pPr>
              <w:widowControl w:val="0"/>
              <w:spacing w:line="240" w:lineRule="auto"/>
              <w:jc w:val="right"/>
            </w:pPr>
            <w:r>
              <w:t>principles</w:t>
            </w:r>
          </w:p>
        </w:tc>
        <w:tc>
          <w:tcPr>
            <w:tcW w:w="6810" w:type="dxa"/>
            <w:shd w:val="clear" w:color="auto" w:fill="auto"/>
            <w:tcMar>
              <w:top w:w="100" w:type="dxa"/>
              <w:left w:w="100" w:type="dxa"/>
              <w:bottom w:w="100" w:type="dxa"/>
              <w:right w:w="100" w:type="dxa"/>
            </w:tcMar>
          </w:tcPr>
          <w:p w14:paraId="01DAC80E" w14:textId="77777777" w:rsidR="00B95579" w:rsidRDefault="000076CB">
            <w:pPr>
              <w:widowControl w:val="0"/>
              <w:pBdr>
                <w:top w:val="nil"/>
                <w:left w:val="nil"/>
                <w:bottom w:val="nil"/>
                <w:right w:val="nil"/>
                <w:between w:val="nil"/>
              </w:pBdr>
              <w:spacing w:line="240" w:lineRule="auto"/>
            </w:pPr>
            <w:r>
              <w:t>Continuity is used to show the trend of the movement of the FTSE index. Contrast is used to show when the index increased or decreased in value during a single period between its market open and close. Using transparency, the Bollinger bands are in the background, whereas the OHLC graph is in focus.</w:t>
            </w:r>
          </w:p>
        </w:tc>
      </w:tr>
      <w:tr w:rsidR="00B95579" w14:paraId="099E8C57" w14:textId="77777777">
        <w:trPr>
          <w:trHeight w:val="420"/>
          <w:jc w:val="center"/>
        </w:trPr>
        <w:tc>
          <w:tcPr>
            <w:tcW w:w="1935" w:type="dxa"/>
            <w:vMerge/>
            <w:shd w:val="clear" w:color="auto" w:fill="auto"/>
            <w:tcMar>
              <w:top w:w="100" w:type="dxa"/>
              <w:left w:w="100" w:type="dxa"/>
              <w:bottom w:w="100" w:type="dxa"/>
              <w:right w:w="100" w:type="dxa"/>
            </w:tcMar>
          </w:tcPr>
          <w:p w14:paraId="51624AB5" w14:textId="77777777" w:rsidR="00B95579" w:rsidRDefault="00B95579">
            <w:pPr>
              <w:widowControl w:val="0"/>
              <w:pBdr>
                <w:top w:val="nil"/>
                <w:left w:val="nil"/>
                <w:bottom w:val="nil"/>
                <w:right w:val="nil"/>
                <w:between w:val="nil"/>
              </w:pBdr>
              <w:spacing w:line="240" w:lineRule="auto"/>
            </w:pPr>
          </w:p>
        </w:tc>
        <w:tc>
          <w:tcPr>
            <w:tcW w:w="2040" w:type="dxa"/>
            <w:shd w:val="clear" w:color="auto" w:fill="auto"/>
            <w:tcMar>
              <w:top w:w="100" w:type="dxa"/>
              <w:left w:w="100" w:type="dxa"/>
              <w:bottom w:w="100" w:type="dxa"/>
              <w:right w:w="100" w:type="dxa"/>
            </w:tcMar>
          </w:tcPr>
          <w:p w14:paraId="42D8D29A" w14:textId="77777777" w:rsidR="00B95579" w:rsidRDefault="000076CB">
            <w:pPr>
              <w:widowControl w:val="0"/>
              <w:spacing w:line="240" w:lineRule="auto"/>
              <w:jc w:val="right"/>
            </w:pPr>
            <w:r>
              <w:t xml:space="preserve">Use of </w:t>
            </w:r>
            <w:proofErr w:type="spellStart"/>
            <w:r>
              <w:t>colour</w:t>
            </w:r>
            <w:proofErr w:type="spellEnd"/>
          </w:p>
        </w:tc>
        <w:tc>
          <w:tcPr>
            <w:tcW w:w="6810" w:type="dxa"/>
            <w:shd w:val="clear" w:color="auto" w:fill="auto"/>
            <w:tcMar>
              <w:top w:w="100" w:type="dxa"/>
              <w:left w:w="100" w:type="dxa"/>
              <w:bottom w:w="100" w:type="dxa"/>
              <w:right w:w="100" w:type="dxa"/>
            </w:tcMar>
          </w:tcPr>
          <w:p w14:paraId="1314376A" w14:textId="3350926B" w:rsidR="00B95579" w:rsidRDefault="000076CB">
            <w:pPr>
              <w:widowControl w:val="0"/>
              <w:pBdr>
                <w:top w:val="nil"/>
                <w:left w:val="nil"/>
                <w:bottom w:val="nil"/>
                <w:right w:val="nil"/>
                <w:between w:val="nil"/>
              </w:pBdr>
              <w:spacing w:line="240" w:lineRule="auto"/>
            </w:pPr>
            <w:r>
              <w:t xml:space="preserve">Red and green is used to clearly differentiate whether the FTSE went up or down during the trading period of the day. The Bollinger bands are filled in with a semi-transparent blue, and the SMA is </w:t>
            </w:r>
            <w:proofErr w:type="spellStart"/>
            <w:r>
              <w:t>coloured</w:t>
            </w:r>
            <w:proofErr w:type="spellEnd"/>
            <w:r>
              <w:t xml:space="preserve"> a bright orange to clearly stand out over the OHLC chart and Bollinger Bands.</w:t>
            </w:r>
          </w:p>
        </w:tc>
      </w:tr>
      <w:tr w:rsidR="00B95579" w14:paraId="4A34EB71" w14:textId="77777777">
        <w:trPr>
          <w:trHeight w:val="420"/>
          <w:jc w:val="center"/>
        </w:trPr>
        <w:tc>
          <w:tcPr>
            <w:tcW w:w="1935" w:type="dxa"/>
            <w:vMerge/>
            <w:shd w:val="clear" w:color="auto" w:fill="auto"/>
            <w:tcMar>
              <w:top w:w="100" w:type="dxa"/>
              <w:left w:w="100" w:type="dxa"/>
              <w:bottom w:w="100" w:type="dxa"/>
              <w:right w:w="100" w:type="dxa"/>
            </w:tcMar>
          </w:tcPr>
          <w:p w14:paraId="227AAD3D" w14:textId="77777777" w:rsidR="00B95579" w:rsidRDefault="00B95579">
            <w:pPr>
              <w:widowControl w:val="0"/>
              <w:pBdr>
                <w:top w:val="nil"/>
                <w:left w:val="nil"/>
                <w:bottom w:val="nil"/>
                <w:right w:val="nil"/>
                <w:between w:val="nil"/>
              </w:pBdr>
              <w:spacing w:line="240" w:lineRule="auto"/>
            </w:pPr>
          </w:p>
        </w:tc>
        <w:tc>
          <w:tcPr>
            <w:tcW w:w="2040" w:type="dxa"/>
            <w:shd w:val="clear" w:color="auto" w:fill="auto"/>
            <w:tcMar>
              <w:top w:w="100" w:type="dxa"/>
              <w:left w:w="100" w:type="dxa"/>
              <w:bottom w:w="100" w:type="dxa"/>
              <w:right w:w="100" w:type="dxa"/>
            </w:tcMar>
          </w:tcPr>
          <w:p w14:paraId="5754C983" w14:textId="77777777" w:rsidR="00B95579" w:rsidRDefault="000076CB">
            <w:pPr>
              <w:widowControl w:val="0"/>
              <w:spacing w:line="240" w:lineRule="auto"/>
              <w:jc w:val="right"/>
            </w:pPr>
            <w:r>
              <w:t xml:space="preserve">Use of language in the visual and </w:t>
            </w:r>
          </w:p>
          <w:p w14:paraId="6AC383F3" w14:textId="77777777" w:rsidR="00B95579" w:rsidRDefault="000076CB">
            <w:pPr>
              <w:widowControl w:val="0"/>
              <w:spacing w:line="240" w:lineRule="auto"/>
              <w:jc w:val="right"/>
            </w:pPr>
            <w:r>
              <w:t xml:space="preserve">narrative in the </w:t>
            </w:r>
          </w:p>
          <w:p w14:paraId="69A9E78D" w14:textId="77777777" w:rsidR="00B95579" w:rsidRDefault="000076CB">
            <w:pPr>
              <w:widowControl w:val="0"/>
              <w:spacing w:line="240" w:lineRule="auto"/>
              <w:jc w:val="right"/>
            </w:pPr>
            <w:r>
              <w:t>caption.</w:t>
            </w:r>
          </w:p>
        </w:tc>
        <w:tc>
          <w:tcPr>
            <w:tcW w:w="6810" w:type="dxa"/>
            <w:shd w:val="clear" w:color="auto" w:fill="auto"/>
            <w:tcMar>
              <w:top w:w="100" w:type="dxa"/>
              <w:left w:w="100" w:type="dxa"/>
              <w:bottom w:w="100" w:type="dxa"/>
              <w:right w:w="100" w:type="dxa"/>
            </w:tcMar>
          </w:tcPr>
          <w:p w14:paraId="36250A1A" w14:textId="77777777" w:rsidR="00B95579" w:rsidRDefault="000076CB">
            <w:pPr>
              <w:widowControl w:val="0"/>
              <w:pBdr>
                <w:top w:val="nil"/>
                <w:left w:val="nil"/>
                <w:bottom w:val="nil"/>
                <w:right w:val="nil"/>
                <w:between w:val="nil"/>
              </w:pBdr>
              <w:spacing w:line="240" w:lineRule="auto"/>
            </w:pPr>
            <w:r>
              <w:t>The OHLC chart is entitled. Since the index is measured in points, no labelling is required for the y-axis. The x-axis ticks show the date in year-month-day notation.</w:t>
            </w:r>
          </w:p>
          <w:p w14:paraId="46016747" w14:textId="77777777" w:rsidR="00B95579" w:rsidRDefault="000076CB">
            <w:pPr>
              <w:widowControl w:val="0"/>
              <w:pBdr>
                <w:top w:val="nil"/>
                <w:left w:val="nil"/>
                <w:bottom w:val="nil"/>
                <w:right w:val="nil"/>
                <w:between w:val="nil"/>
              </w:pBdr>
              <w:spacing w:line="240" w:lineRule="auto"/>
            </w:pPr>
            <w:r>
              <w:t>The filled-in line graph for volume is labelled along the y-axis, with dates on the x-axis. On the left side, the traded volume is annotated in mil. (</w:t>
            </w:r>
            <w:proofErr w:type="gramStart"/>
            <w:r>
              <w:t>for</w:t>
            </w:r>
            <w:proofErr w:type="gramEnd"/>
            <w:r>
              <w:t xml:space="preserve"> million units traded).</w:t>
            </w:r>
          </w:p>
          <w:p w14:paraId="3EE3F4D8" w14:textId="77777777" w:rsidR="00B95579" w:rsidRDefault="00B95579">
            <w:pPr>
              <w:widowControl w:val="0"/>
              <w:pBdr>
                <w:top w:val="nil"/>
                <w:left w:val="nil"/>
                <w:bottom w:val="nil"/>
                <w:right w:val="nil"/>
                <w:between w:val="nil"/>
              </w:pBdr>
              <w:spacing w:line="240" w:lineRule="auto"/>
            </w:pPr>
          </w:p>
        </w:tc>
      </w:tr>
    </w:tbl>
    <w:p w14:paraId="6B393A3F" w14:textId="77777777" w:rsidR="00B95579" w:rsidRDefault="00B95579"/>
    <w:sectPr w:rsidR="00B955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79"/>
    <w:rsid w:val="000076CB"/>
    <w:rsid w:val="006D15B1"/>
    <w:rsid w:val="00B95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8A2C"/>
  <w15:docId w15:val="{A286EECF-2BC7-4AD1-9201-93773BE6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Kremer</dc:creator>
  <cp:lastModifiedBy>Ron Kremer</cp:lastModifiedBy>
  <cp:revision>2</cp:revision>
  <dcterms:created xsi:type="dcterms:W3CDTF">2022-05-24T23:03:00Z</dcterms:created>
  <dcterms:modified xsi:type="dcterms:W3CDTF">2022-05-24T23:03:00Z</dcterms:modified>
</cp:coreProperties>
</file>