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24b8fa0d2ed4e87760b46d1d6f28779ef27710b"/>
    <w:p>
      <w:pPr>
        <w:pStyle w:val="Heading1"/>
      </w:pPr>
      <w:r>
        <w:t xml:space="preserve">Solimed CTO Assessment — Draft Gap Analysis</w:t>
      </w:r>
    </w:p>
    <w:bookmarkStart w:id="9" w:name="Xcff9a6eb57a8e83d8e5e25bf9e0c21db42ebe93"/>
    <w:p>
      <w:pPr>
        <w:pStyle w:val="Heading2"/>
      </w:pPr>
      <w:r>
        <w:t xml:space="preserve">Additions &amp; Changes Required Based on Video Demo + Transcript</w:t>
      </w:r>
    </w:p>
    <w:p>
      <w:pPr>
        <w:pStyle w:val="FirstParagraph"/>
      </w:pPr>
      <w:r>
        <w:rPr>
          <w:b/>
          <w:bCs/>
        </w:rPr>
        <w:t xml:space="preserve">Document purpose:</w:t>
      </w:r>
      <w:r>
        <w:t xml:space="preserve"> </w:t>
      </w:r>
      <w:r>
        <w:t xml:space="preserve">This compares Eric Garrison’s draft CTO assessment (April 2, 2026 — written pre-video) against the confirmed findings from the January 23, 2026 demo recording (visual analysis + Whisper transcription). Each item is classified as a</w:t>
      </w:r>
      <w:r>
        <w:t xml:space="preserve"> </w:t>
      </w:r>
      <w:r>
        <w:rPr>
          <w:b/>
          <w:bCs/>
        </w:rPr>
        <w:t xml:space="preserve">CORRECTION</w:t>
      </w:r>
      <w:r>
        <w:t xml:space="preserve"> </w:t>
      </w:r>
      <w:r>
        <w:t xml:space="preserve">(draft is factually wrong),</w:t>
      </w:r>
      <w:r>
        <w:t xml:space="preserve"> </w:t>
      </w:r>
      <w:r>
        <w:rPr>
          <w:b/>
          <w:bCs/>
        </w:rPr>
        <w:t xml:space="preserve">ADDITION</w:t>
      </w:r>
      <w:r>
        <w:t xml:space="preserve"> </w:t>
      </w:r>
      <w:r>
        <w:t xml:space="preserve">(important context the draft is missing), or</w:t>
      </w:r>
      <w:r>
        <w:t xml:space="preserve"> </w:t>
      </w:r>
      <w:r>
        <w:rPr>
          <w:b/>
          <w:bCs/>
        </w:rPr>
        <w:t xml:space="preserve">CONFIRM</w:t>
      </w:r>
      <w:r>
        <w:t xml:space="preserve"> </w:t>
      </w:r>
      <w:r>
        <w:t xml:space="preserve">(draft is right — keep as-is).</w:t>
      </w:r>
    </w:p>
    <w:p>
      <w:pPr>
        <w:pStyle w:val="BodyText"/>
      </w:pPr>
      <w:r>
        <w:rPr>
          <w:b/>
          <w:bCs/>
        </w:rPr>
        <w:t xml:space="preserve">Prepared by:</w:t>
      </w:r>
      <w:r>
        <w:t xml:space="preserve"> </w:t>
      </w:r>
      <w:r>
        <w:t xml:space="preserve">Pivot</w:t>
      </w:r>
      <w:r>
        <w:br/>
      </w:r>
      <w:r>
        <w:rPr>
          <w:b/>
          <w:bCs/>
        </w:rPr>
        <w:t xml:space="preserve">Date:</w:t>
      </w:r>
      <w:r>
        <w:t xml:space="preserve"> </w:t>
      </w:r>
      <w:r>
        <w:t xml:space="preserve">2026-04-02</w:t>
      </w:r>
      <w:r>
        <w:br/>
      </w:r>
      <w:r>
        <w:rPr>
          <w:b/>
          <w:bCs/>
        </w:rPr>
        <w:t xml:space="preserve">Reference documents:</w:t>
      </w:r>
      <w:r>
        <w:t xml:space="preserve"> </w:t>
      </w:r>
      <w:r>
        <w:t xml:space="preserve">-</w:t>
      </w:r>
      <w:r>
        <w:t xml:space="preserve"> </w:t>
      </w:r>
      <w:r>
        <w:rPr>
          <w:rStyle w:val="VerbatimChar"/>
        </w:rPr>
        <w:t xml:space="preserve">Solmed_CTO_Assessment_DRAFT.docx</w:t>
      </w:r>
      <w:r>
        <w:t xml:space="preserve"> </w:t>
      </w:r>
      <w:r>
        <w:t xml:space="preserve">— Eric Garrison, WTE Solutions</w:t>
      </w:r>
      <w:r>
        <w:t xml:space="preserve"> </w:t>
      </w:r>
      <w:r>
        <w:t xml:space="preserve">-</w:t>
      </w:r>
      <w:r>
        <w:t xml:space="preserve"> </w:t>
      </w:r>
      <w:r>
        <w:rPr>
          <w:rStyle w:val="VerbatimChar"/>
        </w:rPr>
        <w:t xml:space="preserve">solimed-cto-assessment.md</w:t>
      </w:r>
      <w:r>
        <w:t xml:space="preserve"> </w:t>
      </w:r>
      <w:r>
        <w:t xml:space="preserve">— Pivot analysis based on demo transcript</w:t>
      </w:r>
    </w:p>
    <w:p>
      <w:r>
        <w:pict>
          <v:rect style="width:0;height:1.5pt" o:hralign="center" o:hrstd="t" o:hr="t"/>
        </w:pict>
      </w:r>
    </w:p>
    <w:bookmarkEnd w:id="9"/>
    <w:bookmarkStart w:id="11" w:name="X62bcd4742b512849e8a1557a3e0992c008bf628"/>
    <w:p>
      <w:pPr>
        <w:pStyle w:val="Heading2"/>
      </w:pPr>
      <w:r>
        <w:t xml:space="preserve">SECTION 0 — ADDITION: Recognition of What Solimed Has Built (Add Before Section 1)</w:t>
      </w:r>
    </w:p>
    <w:p>
      <w:pPr>
        <w:pStyle w:val="FirstParagraph"/>
      </w:pPr>
      <w:r>
        <w:rPr>
          <w:b/>
          <w:bCs/>
        </w:rPr>
        <w:t xml:space="preserve">Priority: HIGH — Add this before anything else in the revised assessment.</w:t>
      </w:r>
    </w:p>
    <w:p>
      <w:pPr>
        <w:pStyle w:val="BodyText"/>
      </w:pPr>
      <w:r>
        <w:t xml:space="preserve">The current draft jumps straight into risk assessment without acknowledging what Ivan and his team have actually accomplished. This is a significant relationship mistake. Before identifying any gaps or recommending any changes, the revised CTO assessment must open by recognizing what was built, how it was built, and what it cost to get here.</w:t>
      </w:r>
    </w:p>
    <w:p>
      <w:pPr>
        <w:pStyle w:val="BodyText"/>
      </w:pPr>
      <w:r>
        <w:rPr>
          <w:b/>
          <w:bCs/>
        </w:rPr>
        <w:t xml:space="preserve">Proposed language — add as an opening section titled</w:t>
      </w:r>
      <w:r>
        <w:rPr>
          <w:b/>
          <w:bCs/>
        </w:rPr>
        <w:t xml:space="preserve"> </w:t>
      </w:r>
      <w:r>
        <w:rPr>
          <w:b/>
          <w:bCs/>
        </w:rPr>
        <w:t xml:space="preserve">“Acknowledgment of What Solimed Has Built”</w:t>
      </w:r>
      <w:r>
        <w:rPr>
          <w:b/>
          <w:bCs/>
        </w:rPr>
        <w:t xml:space="preserve">:</w:t>
      </w:r>
    </w:p>
    <w:p>
      <w:r>
        <w:pict>
          <v:rect style="width:0;height:1.5pt" o:hralign="center" o:hrstd="t" o:hr="t"/>
        </w:pict>
      </w:r>
    </w:p>
    <w:p>
      <w:pPr>
        <w:pStyle w:val="Heading3"/>
      </w:pPr>
      <w:bookmarkStart w:id="10" w:name="X8a3ff86d05bcd824a72738f1a67ca057c9fd1a7"/>
      <w:r>
        <w:t xml:space="preserve">What Solimed Has Built — and Why It Matters</w:t>
      </w:r>
      <w:bookmarkEnd w:id="10"/>
    </w:p>
    <w:p>
      <w:pPr>
        <w:pStyle w:val="BlockText"/>
      </w:pPr>
      <w:r>
        <w:t xml:space="preserve">Before any technical assessment, this needs to be said plainly:</w:t>
      </w:r>
      <w:r>
        <w:t xml:space="preserve"> </w:t>
      </w:r>
      <w:r>
        <w:rPr>
          <w:b/>
          <w:bCs/>
        </w:rPr>
        <w:t xml:space="preserve">Ivan and his team have built something genuinely impressive on a constrained budget.</w:t>
      </w:r>
    </w:p>
    <w:p>
      <w:pPr>
        <w:pStyle w:val="BlockText"/>
      </w:pPr>
      <w:r>
        <w:t xml:space="preserve">Starting from Excel spreadsheets and evolving over three-plus years into a functioning operational platform, Solimed’s Study Tracking system now manages:</w:t>
      </w:r>
    </w:p>
    <w:p>
      <w:pPr>
        <w:pStyle w:val="Compact"/>
        <w:numPr>
          <w:ilvl w:val="0"/>
          <w:numId w:val="1001"/>
        </w:numPr>
      </w:pPr>
      <w:r>
        <w:rPr>
          <w:b/>
          <w:bCs/>
        </w:rPr>
        <w:t xml:space="preserve">321 active enrolled patients</w:t>
      </w:r>
      <w:r>
        <w:t xml:space="preserve"> </w:t>
      </w:r>
      <w:r>
        <w:t xml:space="preserve">across hundreds of clinical studies</w:t>
      </w:r>
    </w:p>
    <w:p>
      <w:pPr>
        <w:pStyle w:val="Compact"/>
        <w:numPr>
          <w:ilvl w:val="0"/>
          <w:numId w:val="1001"/>
        </w:numPr>
      </w:pPr>
      <w:r>
        <w:rPr>
          <w:b/>
          <w:bCs/>
        </w:rPr>
        <w:t xml:space="preserve">15+ CRO relationships</w:t>
      </w:r>
      <w:r>
        <w:t xml:space="preserve"> </w:t>
      </w:r>
      <w:r>
        <w:t xml:space="preserve">with complex, individually negotiated fee structures</w:t>
      </w:r>
    </w:p>
    <w:p>
      <w:pPr>
        <w:pStyle w:val="Compact"/>
        <w:numPr>
          <w:ilvl w:val="0"/>
          <w:numId w:val="1001"/>
        </w:numPr>
      </w:pPr>
      <w:r>
        <w:rPr>
          <w:b/>
          <w:bCs/>
        </w:rPr>
        <w:t xml:space="preserve">€2.1 million in tracked, structured financial backlog</w:t>
      </w:r>
      <w:r>
        <w:t xml:space="preserve"> </w:t>
      </w:r>
      <w:r>
        <w:t xml:space="preserve">across studies running through 2032</w:t>
      </w:r>
    </w:p>
    <w:p>
      <w:pPr>
        <w:pStyle w:val="Compact"/>
        <w:numPr>
          <w:ilvl w:val="0"/>
          <w:numId w:val="1001"/>
        </w:numPr>
      </w:pPr>
      <w:r>
        <w:rPr>
          <w:b/>
          <w:bCs/>
        </w:rPr>
        <w:t xml:space="preserve">Two clinical sites</w:t>
      </w:r>
      <w:r>
        <w:t xml:space="preserve"> </w:t>
      </w:r>
      <w:r>
        <w:t xml:space="preserve">(Solimed Clinic and Medico RI) with separate real-time financial reporting shared live with hospital management</w:t>
      </w:r>
    </w:p>
    <w:p>
      <w:pPr>
        <w:pStyle w:val="Compact"/>
        <w:numPr>
          <w:ilvl w:val="0"/>
          <w:numId w:val="1001"/>
        </w:numPr>
      </w:pPr>
      <w:r>
        <w:t xml:space="preserve">A</w:t>
      </w:r>
      <w:r>
        <w:t xml:space="preserve"> </w:t>
      </w:r>
      <w:r>
        <w:rPr>
          <w:b/>
          <w:bCs/>
        </w:rPr>
        <w:t xml:space="preserve">sophisticated investigator fee model</w:t>
      </w:r>
      <w:r>
        <w:t xml:space="preserve"> </w:t>
      </w:r>
      <w:r>
        <w:t xml:space="preserve">handling PI cuts, PI fees, sub-investigator splits, and referral doctor fees — all configurable per study</w:t>
      </w:r>
    </w:p>
    <w:p>
      <w:pPr>
        <w:pStyle w:val="Compact"/>
        <w:numPr>
          <w:ilvl w:val="0"/>
          <w:numId w:val="1001"/>
        </w:numPr>
      </w:pPr>
      <w:r>
        <w:t xml:space="preserve">A</w:t>
      </w:r>
      <w:r>
        <w:t xml:space="preserve"> </w:t>
      </w:r>
      <w:r>
        <w:rPr>
          <w:b/>
          <w:bCs/>
        </w:rPr>
        <w:t xml:space="preserve">protocol amendment system</w:t>
      </w:r>
      <w:r>
        <w:t xml:space="preserve"> </w:t>
      </w:r>
      <w:r>
        <w:t xml:space="preserve">that correctly recalculates historical visit fees when contracts change mid-study</w:t>
      </w:r>
    </w:p>
    <w:p>
      <w:pPr>
        <w:pStyle w:val="Compact"/>
        <w:numPr>
          <w:ilvl w:val="0"/>
          <w:numId w:val="1001"/>
        </w:numPr>
      </w:pPr>
      <w:r>
        <w:rPr>
          <w:b/>
          <w:bCs/>
        </w:rPr>
        <w:t xml:space="preserve">Auto-scheduling and auto-skip logic</w:t>
      </w:r>
      <w:r>
        <w:t xml:space="preserve"> </w:t>
      </w:r>
      <w:r>
        <w:t xml:space="preserve">that eliminates manual work the moment a patient hits randomization or screen failure</w:t>
      </w:r>
    </w:p>
    <w:p>
      <w:pPr>
        <w:pStyle w:val="Compact"/>
        <w:numPr>
          <w:ilvl w:val="0"/>
          <w:numId w:val="1001"/>
        </w:numPr>
      </w:pPr>
      <w:r>
        <w:rPr>
          <w:b/>
          <w:bCs/>
        </w:rPr>
        <w:t xml:space="preserve">Power BI financial dashboards</w:t>
      </w:r>
      <w:r>
        <w:t xml:space="preserve"> </w:t>
      </w:r>
      <w:r>
        <w:t xml:space="preserve">that give management, coordinators, and hospital partners real-time visibility into revenue, costs, margins, backlog, and investigator utilization</w:t>
      </w:r>
    </w:p>
    <w:p>
      <w:pPr>
        <w:pStyle w:val="BlockText"/>
      </w:pPr>
      <w:r>
        <w:t xml:space="preserve">This was not built with an enterprise budget, a large team, or a long runway. It was built by a small team with domain expertise, a pragmatic mindset, and a deliberate resistance to over-engineering. They chose</w:t>
      </w:r>
      <w:r>
        <w:t xml:space="preserve"> </w:t>
      </w:r>
      <w:r>
        <w:rPr>
          <w:b/>
          <w:bCs/>
        </w:rPr>
        <w:t xml:space="preserve">not</w:t>
      </w:r>
      <w:r>
        <w:t xml:space="preserve"> </w:t>
      </w:r>
      <w:r>
        <w:t xml:space="preserve">to buy bloated off-the-shelf CTMS software that would have cost more, fit less, and required more administration. They chose instead to build exactly what they needed, prove it in production, and evolve it incrementally.</w:t>
      </w:r>
    </w:p>
    <w:p>
      <w:pPr>
        <w:pStyle w:val="BlockText"/>
      </w:pPr>
      <w:r>
        <w:t xml:space="preserve">That choice has paid off. The platform is real. It is used daily. It handles real money. Investigators reconcile their payment specifications against it every month. Hospital management relies on it for financial planning. Coordinators run their entire patient visit workflow through it.</w:t>
      </w:r>
    </w:p>
    <w:p>
      <w:pPr>
        <w:pStyle w:val="BlockText"/>
      </w:pPr>
      <w:r>
        <w:rPr>
          <w:b/>
          <w:bCs/>
        </w:rPr>
        <w:t xml:space="preserve">The goal of this assessment is not to replace what they built — it is to scale it.</w:t>
      </w:r>
    </w:p>
    <w:p>
      <w:pPr>
        <w:pStyle w:val="BlockText"/>
      </w:pPr>
      <w:r>
        <w:t xml:space="preserve">The platform has reached the natural ceiling of its current architecture. The Power Apps foundation that enabled fast, low-cost delivery will constrain the next phase of growth: international expansion, third-party integrations, mobile access for field investigators, and enterprise-grade security. These are good problems to have. They are the problems of a system that worked.</w:t>
      </w:r>
    </w:p>
    <w:p>
      <w:pPr>
        <w:pStyle w:val="BlockText"/>
      </w:pPr>
      <w:r>
        <w:t xml:space="preserve">Every recommendation in this document is made with deep respect for what came before it.</w:t>
      </w:r>
    </w:p>
    <w:p>
      <w:r>
        <w:pict>
          <v:rect style="width:0;height:1.5pt" o:hralign="center" o:hrstd="t" o:hr="t"/>
        </w:pict>
      </w:r>
    </w:p>
    <w:p>
      <w:pPr>
        <w:pStyle w:val="FirstParagraph"/>
      </w:pPr>
      <w:r>
        <w:rPr>
          <w:b/>
          <w:bCs/>
        </w:rPr>
        <w:t xml:space="preserve">Why this matters:</w:t>
      </w:r>
      <w:r>
        <w:t xml:space="preserve"> </w:t>
      </w:r>
      <w:r>
        <w:t xml:space="preserve">Ivan built this. He will read this assessment. If the first thing he reads is a risk table calling his system of record</w:t>
      </w:r>
      <w:r>
        <w:t xml:space="preserve"> </w:t>
      </w:r>
      <w:r>
        <w:t xml:space="preserve">“None”</w:t>
      </w:r>
      <w:r>
        <w:t xml:space="preserve"> </w:t>
      </w:r>
      <w:r>
        <w:t xml:space="preserve">and his data capture</w:t>
      </w:r>
      <w:r>
        <w:t xml:space="preserve"> </w:t>
      </w:r>
      <w:r>
        <w:t xml:space="preserve">“Manual / Paper,”</w:t>
      </w:r>
      <w:r>
        <w:t xml:space="preserve"> </w:t>
      </w:r>
      <w:r>
        <w:t xml:space="preserve">he will disengage before he finishes page one. The opening above reframes the entire conversation — from</w:t>
      </w:r>
      <w:r>
        <w:t xml:space="preserve"> </w:t>
      </w:r>
      <w:r>
        <w:t xml:space="preserve">“here is what is wrong with your system”</w:t>
      </w:r>
      <w:r>
        <w:t xml:space="preserve"> </w:t>
      </w:r>
      <w:r>
        <w:t xml:space="preserve">to</w:t>
      </w:r>
      <w:r>
        <w:t xml:space="preserve"> </w:t>
      </w:r>
      <w:r>
        <w:t xml:space="preserve">“here is how we scale what you built.”</w:t>
      </w:r>
      <w:r>
        <w:t xml:space="preserve"> </w:t>
      </w:r>
      <w:r>
        <w:t xml:space="preserve">That framing is the difference between a partnership and a vendor relationship.</w:t>
      </w:r>
    </w:p>
    <w:p>
      <w:r>
        <w:pict>
          <v:rect style="width:0;height:1.5pt" o:hralign="center" o:hrstd="t" o:hr="t"/>
        </w:pict>
      </w:r>
    </w:p>
    <w:bookmarkEnd w:id="11"/>
    <w:bookmarkStart w:id="17" w:name="X2e7e23ebd7833173cae8b18bf4f32af4f9bad25"/>
    <w:p>
      <w:pPr>
        <w:pStyle w:val="Heading2"/>
      </w:pPr>
      <w:r>
        <w:t xml:space="preserve">SECTION 1 — CORRECTIONS (Draft is factually wrong — must change)</w:t>
      </w:r>
    </w:p>
    <w:p>
      <w:r>
        <w:pict>
          <v:rect style="width:0;height:1.5pt" o:hralign="center" o:hrstd="t" o:hr="t"/>
        </w:pict>
      </w:r>
    </w:p>
    <w:bookmarkStart w:id="12" w:name="Xdc49786f6a9ca100e7b3936bd77a90d95a77b4a"/>
    <w:p>
      <w:pPr>
        <w:pStyle w:val="Heading3"/>
      </w:pPr>
      <w:r>
        <w:t xml:space="preserve">CORRECTION 1 — Section 1.1: Severity of</w:t>
      </w:r>
      <w:r>
        <w:t xml:space="preserve"> </w:t>
      </w:r>
      <w:r>
        <w:t xml:space="preserve">“lightweight tracking tool”</w:t>
      </w:r>
      <w:r>
        <w:t xml:space="preserve"> </w:t>
      </w:r>
      <w:r>
        <w:t xml:space="preserve">characterization</w:t>
      </w:r>
    </w:p>
    <w:p>
      <w:pPr>
        <w:pStyle w:val="FirstParagraph"/>
      </w:pPr>
      <w:r>
        <w:rPr>
          <w:b/>
          <w:bCs/>
        </w:rPr>
        <w:t xml:space="preserve">Draft says:</w:t>
      </w:r>
      <w:r>
        <w:t xml:space="preserve"> </w:t>
      </w:r>
      <w:r>
        <w:t xml:space="preserve">&gt;</w:t>
      </w:r>
      <w:r>
        <w:t xml:space="preserve"> </w:t>
      </w:r>
      <w:r>
        <w:t xml:space="preserve">“The organization does not currently operate a clinical platform. What exists is a lightweight tracking tool built on PowerApps and Dataverse, surrounded by manual processes.”</w:t>
      </w:r>
      <w:r>
        <w:t xml:space="preserve"> </w:t>
      </w:r>
      <w:r>
        <w:t xml:space="preserve">&gt; Maturity table rates them at: Stage 0 → Stage 1</w:t>
      </w:r>
    </w:p>
    <w:p>
      <w:pPr>
        <w:pStyle w:val="BodyText"/>
      </w:pPr>
      <w:r>
        <w:rPr>
          <w:b/>
          <w:bCs/>
        </w:rPr>
        <w:t xml:space="preserve">What the transcript reveals:</w:t>
      </w:r>
      <w:r>
        <w:t xml:space="preserve"> </w:t>
      </w:r>
      <w:r>
        <w:t xml:space="preserve">This significantly undersells the platform and will alienate the client. The demo shows a functioning, domain-complete operational system that is actively used daily by coordinators managing:</w:t>
      </w:r>
      <w:r>
        <w:t xml:space="preserve"> </w:t>
      </w:r>
      <w:r>
        <w:t xml:space="preserve">-</w:t>
      </w:r>
      <w:r>
        <w:t xml:space="preserve"> </w:t>
      </w:r>
      <w:r>
        <w:rPr>
          <w:b/>
          <w:bCs/>
        </w:rPr>
        <w:t xml:space="preserve">321 active enrolled patients</w:t>
      </w:r>
      <w:r>
        <w:t xml:space="preserve"> </w:t>
      </w:r>
      <w:r>
        <w:t xml:space="preserve">across hundreds of studies</w:t>
      </w:r>
      <w:r>
        <w:t xml:space="preserve"> </w:t>
      </w:r>
      <w:r>
        <w:t xml:space="preserve">-</w:t>
      </w:r>
      <w:r>
        <w:t xml:space="preserve"> </w:t>
      </w:r>
      <w:r>
        <w:rPr>
          <w:b/>
          <w:bCs/>
        </w:rPr>
        <w:t xml:space="preserve">15+ CROs</w:t>
      </w:r>
      <w:r>
        <w:t xml:space="preserve"> </w:t>
      </w:r>
      <w:r>
        <w:t xml:space="preserve">across multiple study types</w:t>
      </w:r>
      <w:r>
        <w:t xml:space="preserve"> </w:t>
      </w:r>
      <w:r>
        <w:t xml:space="preserve">-</w:t>
      </w:r>
      <w:r>
        <w:t xml:space="preserve"> </w:t>
      </w:r>
      <w:r>
        <w:rPr>
          <w:b/>
          <w:bCs/>
        </w:rPr>
        <w:t xml:space="preserve">€2.1M in tracked, structured financial backlog</w:t>
      </w:r>
      <w:r>
        <w:t xml:space="preserve"> </w:t>
      </w:r>
      <w:r>
        <w:t xml:space="preserve">(studies through 2032)</w:t>
      </w:r>
      <w:r>
        <w:t xml:space="preserve"> </w:t>
      </w:r>
      <w:r>
        <w:t xml:space="preserve">- A sophisticated investigator fee model (PI cut, PI fee, sub-investigator splits, referral doctor fees — all configured per study)</w:t>
      </w:r>
      <w:r>
        <w:t xml:space="preserve"> </w:t>
      </w:r>
      <w:r>
        <w:t xml:space="preserve">- An</w:t>
      </w:r>
      <w:r>
        <w:t xml:space="preserve"> </w:t>
      </w:r>
      <w:r>
        <w:t xml:space="preserve">“effective from”</w:t>
      </w:r>
      <w:r>
        <w:t xml:space="preserve"> </w:t>
      </w:r>
      <w:r>
        <w:t xml:space="preserve">date system for budget amendments that correctly recalculates historical visits</w:t>
      </w:r>
      <w:r>
        <w:t xml:space="preserve"> </w:t>
      </w:r>
      <w:r>
        <w:t xml:space="preserve">- Auto-scheduling of all protocol visits the moment a randomization visit is marked done</w:t>
      </w:r>
      <w:r>
        <w:t xml:space="preserve"> </w:t>
      </w:r>
      <w:r>
        <w:t xml:space="preserve">- Auto-skip of future visits when a patient screen fails</w:t>
      </w:r>
      <w:r>
        <w:t xml:space="preserve"> </w:t>
      </w:r>
      <w:r>
        <w:t xml:space="preserve">- Separate real-time Power BI PNL dashboards for each site, one of which is shared live with Medico RI hospital management</w:t>
      </w:r>
    </w:p>
    <w:p>
      <w:pPr>
        <w:pStyle w:val="BodyText"/>
      </w:pPr>
      <w:r>
        <w:t xml:space="preserve">Ivan built this incrementally over 3+ years. Calling it a</w:t>
      </w:r>
      <w:r>
        <w:t xml:space="preserve"> </w:t>
      </w:r>
      <w:r>
        <w:t xml:space="preserve">“lightweight tracking tool”</w:t>
      </w:r>
      <w:r>
        <w:t xml:space="preserve"> </w:t>
      </w:r>
      <w:r>
        <w:t xml:space="preserve">will read as dismissive and damage the relationship before the engagement begins.</w:t>
      </w:r>
    </w:p>
    <w:p>
      <w:pPr>
        <w:pStyle w:val="BodyText"/>
      </w:pPr>
      <w:r>
        <w:rPr>
          <w:b/>
          <w:bCs/>
        </w:rPr>
        <w:t xml:space="preserve">Recommended change:</w:t>
      </w:r>
      <w:r>
        <w:t xml:space="preserve"> </w:t>
      </w:r>
      <w:r>
        <w:t xml:space="preserve">Replace the</w:t>
      </w:r>
      <w:r>
        <w:t xml:space="preserve"> </w:t>
      </w:r>
      <w:r>
        <w:t xml:space="preserve">“lightweight tracking tool”</w:t>
      </w:r>
      <w:r>
        <w:t xml:space="preserve"> </w:t>
      </w:r>
      <w:r>
        <w:t xml:space="preserve">framing with a more accurate characterization:</w:t>
      </w:r>
    </w:p>
    <w:p>
      <w:pPr>
        <w:pStyle w:val="BlockText"/>
      </w:pPr>
      <w:r>
        <w:t xml:space="preserve">“Solimed operates a purpose-built, domain-specific SMO management platform built on Microsoft Power Apps and Power BI. The platform is functionally complete for its current operational scope — it manages study lifecycle, patient visit tracking, investigator fee distribution, budget management, and financial reporting for 321 active patients across 15+ CROs. It was built deliberately over 3+ years, starting from Excel and evolving to Power Apps — a pragmatic approach that delivered real operational value. The platform is not broken. It is approaching the ceiling of what its current architecture can support.”</w:t>
      </w:r>
    </w:p>
    <w:p>
      <w:pPr>
        <w:pStyle w:val="FirstParagraph"/>
      </w:pPr>
      <w:r>
        <w:rPr>
          <w:b/>
          <w:bCs/>
        </w:rPr>
        <w:t xml:space="preserve">Maturity table correction: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Draft Rating</w:t>
            </w:r>
          </w:p>
        </w:tc>
        <w:tc>
          <w:tcPr/>
          <w:p>
            <w:pPr>
              <w:pStyle w:val="Compact"/>
            </w:pPr>
            <w:r>
              <w:t xml:space="preserve">Corrected Rating</w:t>
            </w:r>
          </w:p>
        </w:tc>
        <w:tc>
          <w:tcPr/>
          <w:p>
            <w:pPr>
              <w:pStyle w:val="Compact"/>
            </w:pPr>
            <w:r>
              <w:t xml:space="preserve">Notes</w:t>
            </w:r>
          </w:p>
        </w:tc>
      </w:tr>
      <w:tr>
        <w:tc>
          <w:tcPr/>
          <w:p>
            <w:pPr>
              <w:pStyle w:val="Compact"/>
            </w:pPr>
            <w:r>
              <w:t xml:space="preserve">Data Capture</w:t>
            </w:r>
          </w:p>
        </w:tc>
        <w:tc>
          <w:tcPr/>
          <w:p>
            <w:pPr>
              <w:pStyle w:val="Compact"/>
            </w:pPr>
            <w:r>
              <w:t xml:space="preserve">Manual / Paper — HIGH RISK</w:t>
            </w:r>
          </w:p>
        </w:tc>
        <w:tc>
          <w:tcPr/>
          <w:p>
            <w:pPr>
              <w:pStyle w:val="Compact"/>
            </w:pPr>
            <w:r>
              <w:rPr>
                <w:b/>
                <w:bCs/>
              </w:rPr>
              <w:t xml:space="preserve">Structured digital — MEDIUM</w:t>
            </w:r>
          </w:p>
        </w:tc>
        <w:tc>
          <w:tcPr/>
          <w:p>
            <w:pPr>
              <w:pStyle w:val="Compact"/>
            </w:pPr>
            <w:r>
              <w:t xml:space="preserve">Power Apps IS the primary data capture. Paper is source docs only — deliberate CRO-approved decision</w:t>
            </w:r>
          </w:p>
        </w:tc>
      </w:tr>
      <w:tr>
        <w:tc>
          <w:tcPr/>
          <w:p>
            <w:pPr>
              <w:pStyle w:val="Compact"/>
            </w:pPr>
            <w:r>
              <w:t xml:space="preserve">System of Record</w:t>
            </w:r>
          </w:p>
        </w:tc>
        <w:tc>
          <w:tcPr/>
          <w:p>
            <w:pPr>
              <w:pStyle w:val="Compact"/>
            </w:pPr>
            <w:r>
              <w:t xml:space="preserve">None — HIGH RISK</w:t>
            </w:r>
          </w:p>
        </w:tc>
        <w:tc>
          <w:tcPr/>
          <w:p>
            <w:pPr>
              <w:pStyle w:val="Compact"/>
            </w:pPr>
            <w:r>
              <w:rPr>
                <w:b/>
                <w:bCs/>
              </w:rPr>
              <w:t xml:space="preserve">Exists but single-tenant — MEDIUM</w:t>
            </w:r>
          </w:p>
        </w:tc>
        <w:tc>
          <w:tcPr/>
          <w:p>
            <w:pPr>
              <w:pStyle w:val="Compact"/>
            </w:pPr>
            <w:r>
              <w:t xml:space="preserve">Power Apps/Dataverse IS the system of record for the financial/operational layer</w:t>
            </w:r>
          </w:p>
        </w:tc>
      </w:tr>
      <w:tr>
        <w:tc>
          <w:tcPr/>
          <w:p>
            <w:pPr>
              <w:pStyle w:val="Compact"/>
            </w:pPr>
            <w:r>
              <w:t xml:space="preserve">Audit / Compliance</w:t>
            </w:r>
          </w:p>
        </w:tc>
        <w:tc>
          <w:tcPr/>
          <w:p>
            <w:pPr>
              <w:pStyle w:val="Compact"/>
            </w:pPr>
            <w:r>
              <w:t xml:space="preserve">Critical Gap — HIGH</w:t>
            </w:r>
          </w:p>
        </w:tc>
        <w:tc>
          <w:tcPr/>
          <w:p>
            <w:pPr>
              <w:pStyle w:val="Compact"/>
            </w:pPr>
            <w:r>
              <w:rPr>
                <w:b/>
                <w:bCs/>
              </w:rPr>
              <w:t xml:space="preserve">Partial gap — MEDIUM-HIGH</w:t>
            </w:r>
          </w:p>
        </w:tc>
        <w:tc>
          <w:tcPr/>
          <w:p>
            <w:pPr>
              <w:pStyle w:val="Compact"/>
            </w:pPr>
            <w:r>
              <w:t xml:space="preserve">No PII audit log is correct. But billing audit trail exists (visit status history). Severity is lower than stated.</w:t>
            </w:r>
          </w:p>
        </w:tc>
      </w:tr>
      <w:tr>
        <w:tc>
          <w:tcPr/>
          <w:p>
            <w:pPr>
              <w:pStyle w:val="Compact"/>
            </w:pPr>
            <w:r>
              <w:t xml:space="preserve">Scheduling</w:t>
            </w:r>
          </w:p>
        </w:tc>
        <w:tc>
          <w:tcPr/>
          <w:p>
            <w:pPr>
              <w:pStyle w:val="Compact"/>
            </w:pPr>
            <w:r>
              <w:t xml:space="preserve">Spreadsheet-Based — HIGH</w:t>
            </w:r>
          </w:p>
        </w:tc>
        <w:tc>
          <w:tcPr/>
          <w:p>
            <w:pPr>
              <w:pStyle w:val="Compact"/>
            </w:pPr>
            <w:r>
              <w:rPr>
                <w:b/>
                <w:bCs/>
              </w:rPr>
              <w:t xml:space="preserve">App-managed — LOW-MEDIUM</w:t>
            </w:r>
          </w:p>
        </w:tc>
        <w:tc>
          <w:tcPr/>
          <w:p>
            <w:pPr>
              <w:pStyle w:val="Compact"/>
            </w:pPr>
            <w:r>
              <w:t xml:space="preserve">Visit scheduling is in the app. The spreadsheet is TIME TRACKING only.</w:t>
            </w:r>
          </w:p>
        </w:tc>
      </w:tr>
      <w:tr>
        <w:tc>
          <w:tcPr/>
          <w:p>
            <w:pPr>
              <w:pStyle w:val="Compact"/>
            </w:pPr>
            <w:r>
              <w:t xml:space="preserve">Recruitment</w:t>
            </w:r>
          </w:p>
        </w:tc>
        <w:tc>
          <w:tcPr/>
          <w:p>
            <w:pPr>
              <w:pStyle w:val="Compact"/>
            </w:pPr>
            <w:r>
              <w:t xml:space="preserve">Ad Hoc / ClickUp — HIGH</w:t>
            </w:r>
          </w:p>
        </w:tc>
        <w:tc>
          <w:tcPr/>
          <w:p>
            <w:pPr>
              <w:pStyle w:val="Compact"/>
            </w:pPr>
            <w:r>
              <w:rPr>
                <w:b/>
                <w:bCs/>
              </w:rPr>
              <w:t xml:space="preserve">Not applicable to Solimed’s model</w:t>
            </w:r>
          </w:p>
        </w:tc>
        <w:tc>
          <w:tcPr/>
          <w:p>
            <w:pPr>
              <w:pStyle w:val="Compact"/>
            </w:pPr>
            <w:r>
              <w:t xml:space="preserve">See Correction 3 below</w:t>
            </w:r>
          </w:p>
        </w:tc>
      </w:tr>
      <w:tr>
        <w:tc>
          <w:tcPr/>
          <w:p>
            <w:pPr>
              <w:pStyle w:val="Compact"/>
            </w:pPr>
            <w:r>
              <w:t xml:space="preserve">Billing Integrity</w:t>
            </w:r>
          </w:p>
        </w:tc>
        <w:tc>
          <w:tcPr/>
          <w:p>
            <w:pPr>
              <w:pStyle w:val="Compact"/>
            </w:pPr>
            <w:r>
              <w:t xml:space="preserve">Weak Controls — MEDIUM</w:t>
            </w:r>
          </w:p>
        </w:tc>
        <w:tc>
          <w:tcPr/>
          <w:p>
            <w:pPr>
              <w:pStyle w:val="Compact"/>
            </w:pPr>
            <w:r>
              <w:rPr>
                <w:b/>
                <w:bCs/>
              </w:rPr>
              <w:t xml:space="preserve">Functional with known gaps — MEDIUM</w:t>
            </w:r>
          </w:p>
        </w:tc>
        <w:tc>
          <w:tcPr/>
          <w:p>
            <w:pPr>
              <w:pStyle w:val="Compact"/>
            </w:pPr>
            <w:r>
              <w:t xml:space="preserve">Billing workflow (Done → Approved → Billed) exists. Main gap is the after-hours fee calculation.</w:t>
            </w:r>
          </w:p>
        </w:tc>
      </w:tr>
      <w:tr>
        <w:tc>
          <w:tcPr/>
          <w:p>
            <w:pPr>
              <w:pStyle w:val="Compact"/>
            </w:pPr>
            <w:r>
              <w:t xml:space="preserve">Architecture</w:t>
            </w:r>
          </w:p>
        </w:tc>
        <w:tc>
          <w:tcPr/>
          <w:p>
            <w:pPr>
              <w:pStyle w:val="Compact"/>
            </w:pPr>
            <w:r>
              <w:t xml:space="preserve">Low-Code Prototype — MEDIUM</w:t>
            </w:r>
          </w:p>
        </w:tc>
        <w:tc>
          <w:tcPr/>
          <w:p>
            <w:pPr>
              <w:pStyle w:val="Compact"/>
            </w:pPr>
            <w:r>
              <w:rPr>
                <w:b/>
                <w:bCs/>
              </w:rPr>
              <w:t xml:space="preserve">Production system at scale ceiling — MEDIUM</w:t>
            </w:r>
          </w:p>
        </w:tc>
        <w:tc>
          <w:tcPr/>
          <w:p>
            <w:pPr>
              <w:pStyle w:val="Compact"/>
            </w:pPr>
            <w:r>
              <w:t xml:space="preserve">This is not a prototype. It is in production managing real studies and real money.</w:t>
            </w:r>
          </w:p>
        </w:tc>
      </w:tr>
    </w:tbl>
    <w:p>
      <w:r>
        <w:pict>
          <v:rect style="width:0;height:1.5pt" o:hralign="center" o:hrstd="t" o:hr="t"/>
        </w:pict>
      </w:r>
    </w:p>
    <w:bookmarkEnd w:id="12"/>
    <w:bookmarkStart w:id="13" w:name="Xf1d4a7de7c6d3c0abfbfdd4fbd7fffad992e618"/>
    <w:p>
      <w:pPr>
        <w:pStyle w:val="Heading3"/>
      </w:pPr>
      <w:r>
        <w:t xml:space="preserve">CORRECTION 2 — Section 1.2 Risk 1: Paper Forms as Primary Data Capture</w:t>
      </w:r>
    </w:p>
    <w:p>
      <w:pPr>
        <w:pStyle w:val="FirstParagraph"/>
      </w:pPr>
      <w:r>
        <w:rPr>
          <w:b/>
          <w:bCs/>
        </w:rPr>
        <w:t xml:space="preserve">Draft says:</w:t>
      </w:r>
      <w:r>
        <w:t xml:space="preserve"> </w:t>
      </w:r>
      <w:r>
        <w:t xml:space="preserve">&gt;</w:t>
      </w:r>
      <w:r>
        <w:t xml:space="preserve"> </w:t>
      </w:r>
      <w:r>
        <w:t xml:space="preserve">“Paper forms serve as the primary data capture mechanism”</w:t>
      </w:r>
    </w:p>
    <w:p>
      <w:pPr>
        <w:pStyle w:val="BodyText"/>
      </w:pPr>
      <w:r>
        <w:rPr>
          <w:b/>
          <w:bCs/>
        </w:rPr>
        <w:t xml:space="preserve">What the transcript reveals:</w:t>
      </w:r>
      <w:r>
        <w:t xml:space="preserve"> </w:t>
      </w:r>
      <w:r>
        <w:t xml:space="preserve">This is factually wrong. Paper is used</w:t>
      </w:r>
      <w:r>
        <w:t xml:space="preserve"> </w:t>
      </w:r>
      <w:r>
        <w:rPr>
          <w:b/>
          <w:bCs/>
        </w:rPr>
        <w:t xml:space="preserve">only for source documentation</w:t>
      </w:r>
      <w:r>
        <w:t xml:space="preserve"> </w:t>
      </w:r>
      <w:r>
        <w:t xml:space="preserve">(patient consultation reports) — and this is a deliberate architectural decision made in consultation with CROs. Ivan explicitly stated:</w:t>
      </w:r>
    </w:p>
    <w:p>
      <w:pPr>
        <w:pStyle w:val="BlockText"/>
      </w:pPr>
      <w:r>
        <w:t xml:space="preserve">“We were also discussing this with the CROs and their input was not to complicate it with the processes too much because such platform, which contains source documents, this is something that requires far more approvals, regulations and stuff like that.”</w:t>
      </w:r>
    </w:p>
    <w:p>
      <w:pPr>
        <w:pStyle w:val="FirstParagraph"/>
      </w:pPr>
      <w:r>
        <w:t xml:space="preserve">The</w:t>
      </w:r>
      <w:r>
        <w:t xml:space="preserve"> </w:t>
      </w:r>
      <w:r>
        <w:rPr>
          <w:b/>
          <w:bCs/>
        </w:rPr>
        <w:t xml:space="preserve">primary data capture is Power Apps</w:t>
      </w:r>
      <w:r>
        <w:t xml:space="preserve">. Coordinators log visits, investigator assignments, dates, statuses, and budget details in the app. Paper exists only because CROs advised against digitalizing source documents at this stage.</w:t>
      </w:r>
    </w:p>
    <w:p>
      <w:pPr>
        <w:pStyle w:val="BodyText"/>
      </w:pPr>
      <w:r>
        <w:rPr>
          <w:b/>
          <w:bCs/>
        </w:rPr>
        <w:t xml:space="preserve">Recommended change:</w:t>
      </w:r>
      <w:r>
        <w:t xml:space="preserve"> </w:t>
      </w:r>
      <w:r>
        <w:t xml:space="preserve">Remove the bullet</w:t>
      </w:r>
      <w:r>
        <w:t xml:space="preserve"> </w:t>
      </w:r>
      <w:r>
        <w:t xml:space="preserve">“Paper forms serve as the primary data capture mechanism”</w:t>
      </w:r>
      <w:r>
        <w:t xml:space="preserve"> </w:t>
      </w:r>
      <w:r>
        <w:t xml:space="preserve">from Risk 2. Replace Risk 2’s opening with:</w:t>
      </w:r>
    </w:p>
    <w:p>
      <w:pPr>
        <w:pStyle w:val="BlockText"/>
      </w:pPr>
      <w:r>
        <w:t xml:space="preserve">“Solimed’s Power Apps platform is the system of record for operational and financial data. Source documentation (patient consultation reports) is maintained on paper by deliberate choice — CROs advised against digitalization of source documents due to the additional regulatory approvals required. This is not a gap; it is a considered decision. The actual system of record gap is the absence of a proper API layer and multi-tenant data model, not the paper source docs.”</w:t>
      </w:r>
    </w:p>
    <w:p>
      <w:r>
        <w:pict>
          <v:rect style="width:0;height:1.5pt" o:hralign="center" o:hrstd="t" o:hr="t"/>
        </w:pict>
      </w:r>
    </w:p>
    <w:bookmarkEnd w:id="13"/>
    <w:bookmarkStart w:id="14" w:name="X8f4e26f3efff915329a4fc4bb8d03a43a97c0a5"/>
    <w:p>
      <w:pPr>
        <w:pStyle w:val="Heading3"/>
      </w:pPr>
      <w:r>
        <w:t xml:space="preserve">CORRECTION 3 — Section 2.2 Layer 4 &amp; 5: Patient Engagement and Recruitment Pipeline</w:t>
      </w:r>
    </w:p>
    <w:p>
      <w:pPr>
        <w:pStyle w:val="FirstParagraph"/>
      </w:pPr>
      <w:r>
        <w:rPr>
          <w:b/>
          <w:bCs/>
        </w:rPr>
        <w:t xml:space="preserve">Draft says:</w:t>
      </w:r>
      <w:r>
        <w:t xml:space="preserve"> </w:t>
      </w:r>
      <w:r>
        <w:t xml:space="preserve">&gt;</w:t>
      </w:r>
      <w:r>
        <w:t xml:space="preserve"> </w:t>
      </w:r>
      <w:r>
        <w:t xml:space="preserve">“Layer 4: Patient Engagement — SMS and email automation via Twilio, automated reminders”</w:t>
      </w:r>
      <w:r>
        <w:t xml:space="preserve"> </w:t>
      </w:r>
      <w:r>
        <w:t xml:space="preserve">&gt;</w:t>
      </w:r>
      <w:r>
        <w:t xml:space="preserve"> </w:t>
      </w:r>
      <w:r>
        <w:t xml:space="preserve">“Layer 5: Recruitment Pipeline — digital intake forms, CRM-style tracking for prospective participants”</w:t>
      </w:r>
    </w:p>
    <w:p>
      <w:pPr>
        <w:pStyle w:val="BodyText"/>
      </w:pPr>
      <w:r>
        <w:rPr>
          <w:b/>
          <w:bCs/>
        </w:rPr>
        <w:t xml:space="preserve">What the transcript reveals:</w:t>
      </w:r>
      <w:r>
        <w:t xml:space="preserve"> </w:t>
      </w:r>
      <w:r>
        <w:t xml:space="preserve">Solimed is an</w:t>
      </w:r>
      <w:r>
        <w:t xml:space="preserve"> </w:t>
      </w:r>
      <w:r>
        <w:rPr>
          <w:b/>
          <w:bCs/>
        </w:rPr>
        <w:t xml:space="preserve">SMO (Site Management Organization)</w:t>
      </w:r>
      <w:r>
        <w:t xml:space="preserve">, not a patient recruitment company. Patient engagement and recruitment are managed by the CROs and sponsors — not by Solimed. Their platform explicitly does NOT touch the patient-facing layer. Ivan confirmed:</w:t>
      </w:r>
    </w:p>
    <w:p>
      <w:pPr>
        <w:pStyle w:val="BlockText"/>
      </w:pPr>
      <w:r>
        <w:t xml:space="preserve">“All of the data that’s filled in the EDCs is not connected to the app that we currently use. So we do not gather the same data.”</w:t>
      </w:r>
    </w:p>
    <w:p>
      <w:pPr>
        <w:pStyle w:val="FirstParagraph"/>
      </w:pPr>
      <w:r>
        <w:t xml:space="preserve">Drew (the CFO advisor with 20 years in site networks) did not raise patient engagement or recruitment as a need at any point in the 85-minute demo.</w:t>
      </w:r>
    </w:p>
    <w:p>
      <w:pPr>
        <w:pStyle w:val="BodyText"/>
      </w:pPr>
      <w:r>
        <w:t xml:space="preserve">Building a patient engagement layer and recruitment CRM would:</w:t>
      </w:r>
      <w:r>
        <w:t xml:space="preserve"> </w:t>
      </w:r>
      <w:r>
        <w:t xml:space="preserve">1. Duplicate capabilities already owned by the CRO/sponsor</w:t>
      </w:r>
      <w:r>
        <w:t xml:space="preserve"> </w:t>
      </w:r>
      <w:r>
        <w:t xml:space="preserve">2. Require Solimed to take on regulatory responsibility for patient-facing systems they currently don’t hold</w:t>
      </w:r>
      <w:r>
        <w:t xml:space="preserve"> </w:t>
      </w:r>
      <w:r>
        <w:t xml:space="preserve">3. Be unwanted — nobody asked for it in the demo</w:t>
      </w:r>
    </w:p>
    <w:p>
      <w:pPr>
        <w:pStyle w:val="BodyText"/>
      </w:pPr>
      <w:r>
        <w:rPr>
          <w:b/>
          <w:bCs/>
        </w:rPr>
        <w:t xml:space="preserve">Recommended change:</w:t>
      </w:r>
      <w:r>
        <w:t xml:space="preserve"> </w:t>
      </w:r>
      <w:r>
        <w:t xml:space="preserve">Remove Layers 4 and 5 from the target architecture. Replace with:</w:t>
      </w:r>
    </w:p>
    <w:p>
      <w:pPr>
        <w:pStyle w:val="BlockText"/>
      </w:pPr>
      <w:r>
        <w:t xml:space="preserve">“Patient engagement and recruitment are the domain of CROs and sponsors. Solimed’s platform sits at the SMO operational layer — between the sponsor/CRO and the clinical site. The correct integration investment is in the CRO-facing direction (EDC sync, automated invoicing, CRO portal access) not the patient-facing direction.”</w:t>
      </w:r>
    </w:p>
    <w:p>
      <w:r>
        <w:pict>
          <v:rect style="width:0;height:1.5pt" o:hralign="center" o:hrstd="t" o:hr="t"/>
        </w:pict>
      </w:r>
    </w:p>
    <w:bookmarkEnd w:id="14"/>
    <w:bookmarkStart w:id="15" w:name="X9c16736289c79068b6e10976613581fd9a55591"/>
    <w:p>
      <w:pPr>
        <w:pStyle w:val="Heading3"/>
      </w:pPr>
      <w:r>
        <w:t xml:space="preserve">CORRECTION 4 — Section 2.2 Layer 2: EDC as a Replacement</w:t>
      </w:r>
    </w:p>
    <w:p>
      <w:pPr>
        <w:pStyle w:val="FirstParagraph"/>
      </w:pPr>
      <w:r>
        <w:rPr>
          <w:b/>
          <w:bCs/>
        </w:rPr>
        <w:t xml:space="preserve">Draft says:</w:t>
      </w:r>
      <w:r>
        <w:t xml:space="preserve"> </w:t>
      </w:r>
      <w:r>
        <w:t xml:space="preserve">&gt;</w:t>
      </w:r>
      <w:r>
        <w:t xml:space="preserve"> </w:t>
      </w:r>
      <w:r>
        <w:t xml:space="preserve">“Eliminate paper-based data capture as the first operational priority. Options include: Lightweight EDC platforms, custom web/mobile forms”</w:t>
      </w:r>
    </w:p>
    <w:p>
      <w:pPr>
        <w:pStyle w:val="BodyText"/>
      </w:pPr>
      <w:r>
        <w:rPr>
          <w:b/>
          <w:bCs/>
        </w:rPr>
        <w:t xml:space="preserve">What the transcript reveals:</w:t>
      </w:r>
      <w:r>
        <w:t xml:space="preserve"> </w:t>
      </w:r>
      <w:r>
        <w:t xml:space="preserve">Solimed explicitly does</w:t>
      </w:r>
      <w:r>
        <w:t xml:space="preserve"> </w:t>
      </w:r>
      <w:r>
        <w:rPr>
          <w:b/>
          <w:bCs/>
        </w:rPr>
        <w:t xml:space="preserve">not</w:t>
      </w:r>
      <w:r>
        <w:t xml:space="preserve"> </w:t>
      </w:r>
      <w:r>
        <w:t xml:space="preserve">want to be in the EDC business. They work alongside CRO-owned EDC systems. Ivan:</w:t>
      </w:r>
    </w:p>
    <w:p>
      <w:pPr>
        <w:pStyle w:val="BlockText"/>
      </w:pPr>
      <w:r>
        <w:t xml:space="preserve">“All of the data that’s filled in the EDCs is not connected to the app that we currently use. So we do not gather the same data.”</w:t>
      </w:r>
    </w:p>
    <w:p>
      <w:pPr>
        <w:pStyle w:val="FirstParagraph"/>
      </w:pPr>
      <w:r>
        <w:t xml:space="preserve">The correct EDC recommendation is</w:t>
      </w:r>
      <w:r>
        <w:t xml:space="preserve"> </w:t>
      </w:r>
      <w:r>
        <w:rPr>
          <w:b/>
          <w:bCs/>
        </w:rPr>
        <w:t xml:space="preserve">integration with CRO-owned EDC systems</w:t>
      </w:r>
      <w:r>
        <w:t xml:space="preserve"> </w:t>
      </w:r>
      <w:r>
        <w:t xml:space="preserve">(bidirectional sync of visit status), not building or procuring their own EDC.</w:t>
      </w:r>
    </w:p>
    <w:p>
      <w:pPr>
        <w:pStyle w:val="BodyText"/>
      </w:pPr>
      <w:r>
        <w:rPr>
          <w:b/>
          <w:bCs/>
        </w:rPr>
        <w:t xml:space="preserve">Recommended change:</w:t>
      </w:r>
      <w:r>
        <w:t xml:space="preserve"> </w:t>
      </w:r>
      <w:r>
        <w:t xml:space="preserve">Replace Layer 2 with:</w:t>
      </w:r>
    </w:p>
    <w:p>
      <w:pPr>
        <w:pStyle w:val="BlockText"/>
      </w:pPr>
      <w:r>
        <w:t xml:space="preserve">“Layer 2: EDC Integration (not replacement). Solimed does not operate its own EDC and has no intention of doing so — clinical data capture is the CRO’s responsibility. The correct investment is a bidirectional sync adapter between Solimed’s platform and the EDC systems used by their CRO partners (Medidata Rave, Veeva Vault EDC, REDCap). This eliminates the manual double-entry burden without requiring Solimed to take on regulatory responsibility for clinical data capture.”</w:t>
      </w:r>
    </w:p>
    <w:p>
      <w:r>
        <w:pict>
          <v:rect style="width:0;height:1.5pt" o:hralign="center" o:hrstd="t" o:hr="t"/>
        </w:pict>
      </w:r>
    </w:p>
    <w:bookmarkEnd w:id="15"/>
    <w:bookmarkStart w:id="16" w:name="correction-5-section-5-actions-to-avoid"/>
    <w:p>
      <w:pPr>
        <w:pStyle w:val="Heading3"/>
      </w:pPr>
      <w:r>
        <w:t xml:space="preserve">CORRECTION 5 — Section 5: Actions to Avoid</w:t>
      </w:r>
    </w:p>
    <w:p>
      <w:pPr>
        <w:pStyle w:val="FirstParagraph"/>
      </w:pPr>
      <w:r>
        <w:rPr>
          <w:b/>
          <w:bCs/>
        </w:rPr>
        <w:t xml:space="preserve">Draft says:</w:t>
      </w:r>
      <w:r>
        <w:t xml:space="preserve"> </w:t>
      </w:r>
      <w:r>
        <w:t xml:space="preserve">&gt;</w:t>
      </w:r>
      <w:r>
        <w:t xml:space="preserve"> </w:t>
      </w:r>
      <w:r>
        <w:t xml:space="preserve">“Do not attempt to extend PowerApps into a clinical platform”</w:t>
      </w:r>
    </w:p>
    <w:p>
      <w:pPr>
        <w:pStyle w:val="BodyText"/>
      </w:pPr>
      <w:r>
        <w:rPr>
          <w:b/>
          <w:bCs/>
        </w:rPr>
        <w:t xml:space="preserve">What the transcript reveals:</w:t>
      </w:r>
      <w:r>
        <w:t xml:space="preserve"> </w:t>
      </w:r>
      <w:r>
        <w:t xml:space="preserve">This framing is correct in spirit but will land wrong with the client. The existing Power Apps system IS functioning as their clinical operations platform and Mladen built it well for the current scale. Telling them</w:t>
      </w:r>
      <w:r>
        <w:t xml:space="preserve"> </w:t>
      </w:r>
      <w:r>
        <w:t xml:space="preserve">“don’t extend Power Apps”</w:t>
      </w:r>
      <w:r>
        <w:t xml:space="preserve"> </w:t>
      </w:r>
      <w:r>
        <w:t xml:space="preserve">without acknowledging that what they have works risks sounding dismissive.</w:t>
      </w:r>
    </w:p>
    <w:p>
      <w:pPr>
        <w:pStyle w:val="BodyText"/>
      </w:pPr>
      <w:r>
        <w:rPr>
          <w:b/>
          <w:bCs/>
        </w:rPr>
        <w:t xml:space="preserve">Recommended change:</w:t>
      </w:r>
      <w:r>
        <w:t xml:space="preserve"> </w:t>
      </w:r>
      <w:r>
        <w:t xml:space="preserve">Soften to:</w:t>
      </w:r>
    </w:p>
    <w:p>
      <w:pPr>
        <w:pStyle w:val="BlockText"/>
      </w:pPr>
      <w:r>
        <w:t xml:space="preserve">“Do not continue to add complex business logic into Power Apps formulas — fee calculations, normative time tracking, and multi-arm backlog logic should be migrated to a tested, version-controlled API layer. Power Apps can remain as the coordinator UI during transition but should not be the home for business-critical calculations.”</w:t>
      </w:r>
    </w:p>
    <w:p>
      <w:r>
        <w:pict>
          <v:rect style="width:0;height:1.5pt" o:hralign="center" o:hrstd="t" o:hr="t"/>
        </w:pict>
      </w:r>
    </w:p>
    <w:bookmarkEnd w:id="16"/>
    <w:bookmarkEnd w:id="17"/>
    <w:bookmarkStart w:id="27" w:name="X3c2e12297f9ec44d1af3f37b81e12e861f05a37"/>
    <w:p>
      <w:pPr>
        <w:pStyle w:val="Heading2"/>
      </w:pPr>
      <w:r>
        <w:t xml:space="preserve">SECTION 2 — ADDITIONS (Missing from draft — must add)</w:t>
      </w:r>
    </w:p>
    <w:p>
      <w:r>
        <w:pict>
          <v:rect style="width:0;height:1.5pt" o:hralign="center" o:hrstd="t" o:hr="t"/>
        </w:pict>
      </w:r>
    </w:p>
    <w:bookmarkStart w:id="18" w:name="X007878b2caf505490cb0b58134874f8bb7e5e68"/>
    <w:p>
      <w:pPr>
        <w:pStyle w:val="Heading3"/>
      </w:pPr>
      <w:r>
        <w:t xml:space="preserve">ADDITION 1 — Why Solimed built their own (critical context)</w:t>
      </w:r>
    </w:p>
    <w:p>
      <w:pPr>
        <w:pStyle w:val="FirstParagraph"/>
      </w:pPr>
      <w:r>
        <w:t xml:space="preserve">The draft treats the Power Apps system as a symptom of immaturity. The transcript reveals it is the result of a deliberate, informed strategic choice. This context must be added early in Section 1 to frame the entire assessment correctly.</w:t>
      </w:r>
    </w:p>
    <w:p>
      <w:pPr>
        <w:pStyle w:val="BodyText"/>
      </w:pPr>
      <w:r>
        <w:rPr>
          <w:b/>
          <w:bCs/>
        </w:rPr>
        <w:t xml:space="preserve">Add to Section 1.1:</w:t>
      </w:r>
    </w:p>
    <w:p>
      <w:pPr>
        <w:pStyle w:val="BlockText"/>
      </w:pPr>
      <w:r>
        <w:rPr>
          <w:b/>
          <w:bCs/>
        </w:rPr>
        <w:t xml:space="preserve">Strategic context:</w:t>
      </w:r>
      <w:r>
        <w:t xml:space="preserve"> </w:t>
      </w:r>
      <w:r>
        <w:t xml:space="preserve">Solimed evaluated existing CTMS vendors and chose to build their own. Ivan’s reasoning (from the Jan 23 demo):</w:t>
      </w:r>
      <w:r>
        <w:t xml:space="preserve"> </w:t>
      </w:r>
      <w:r>
        <w:t xml:space="preserve">“Our model is a bit specific. Our needs are also a bit specific… it would be mostly too bloated. We wouldn’t be using all of the functionalities.”</w:t>
      </w:r>
      <w:r>
        <w:t xml:space="preserve"> </w:t>
      </w:r>
      <w:r>
        <w:t xml:space="preserve">This was not a naive decision — it was made by a team that understood the alternatives. Any recommendation to evaluate off-the-shelf CTMS platforms must account for the fact that this was already considered and rejected, and must clearly articulate what is now different that would change that conclusion.</w:t>
      </w:r>
    </w:p>
    <w:p>
      <w:r>
        <w:pict>
          <v:rect style="width:0;height:1.5pt" o:hralign="center" o:hrstd="t" o:hr="t"/>
        </w:pict>
      </w:r>
    </w:p>
    <w:bookmarkEnd w:id="18"/>
    <w:bookmarkStart w:id="19" w:name="Xd261f02b652f68b68d6a9208253836a1796936a"/>
    <w:p>
      <w:pPr>
        <w:pStyle w:val="Heading3"/>
      </w:pPr>
      <w:r>
        <w:t xml:space="preserve">ADDITION 2 — Power BI as a Strength (Section 1 — missing entirely)</w:t>
      </w:r>
    </w:p>
    <w:p>
      <w:pPr>
        <w:pStyle w:val="FirstParagraph"/>
      </w:pPr>
      <w:r>
        <w:t xml:space="preserve">The draft does not mention Power BI at all. Power BI is the strongest component of the current stack and a significant asset.</w:t>
      </w:r>
    </w:p>
    <w:p>
      <w:pPr>
        <w:pStyle w:val="BodyText"/>
      </w:pPr>
      <w:r>
        <w:rPr>
          <w:b/>
          <w:bCs/>
        </w:rPr>
        <w:t xml:space="preserve">Add as new Section 1.4 — Reporting Strengths:</w:t>
      </w:r>
    </w:p>
    <w:p>
      <w:pPr>
        <w:pStyle w:val="BlockText"/>
      </w:pPr>
      <w:r>
        <w:t xml:space="preserve">The Power BI reporting layer is sophisticated and genuinely valuable. Current dashboards include:</w:t>
      </w:r>
      <w:r>
        <w:t xml:space="preserve"> </w:t>
      </w:r>
      <w:r>
        <w:t xml:space="preserve">-</w:t>
      </w:r>
      <w:r>
        <w:t xml:space="preserve"> </w:t>
      </w:r>
      <w:r>
        <w:rPr>
          <w:b/>
          <w:bCs/>
        </w:rPr>
        <w:t xml:space="preserve">P&amp;L by CRO/study</w:t>
      </w:r>
      <w:r>
        <w:t xml:space="preserve">: Revenue, costs, margin ratios, fixed vs. visit revenue</w:t>
      </w:r>
      <w:r>
        <w:t xml:space="preserve"> </w:t>
      </w:r>
      <w:r>
        <w:t xml:space="preserve">-</w:t>
      </w:r>
      <w:r>
        <w:t xml:space="preserve"> </w:t>
      </w:r>
      <w:r>
        <w:rPr>
          <w:b/>
          <w:bCs/>
        </w:rPr>
        <w:t xml:space="preserve">Investigator Specification</w:t>
      </w:r>
      <w:r>
        <w:t xml:space="preserve">: Monthly fee breakdown per investigator — basis for payment runs</w:t>
      </w:r>
      <w:r>
        <w:t xml:space="preserve"> </w:t>
      </w:r>
      <w:r>
        <w:t xml:space="preserve">-</w:t>
      </w:r>
      <w:r>
        <w:t xml:space="preserve"> </w:t>
      </w:r>
      <w:r>
        <w:rPr>
          <w:b/>
          <w:bCs/>
        </w:rPr>
        <w:t xml:space="preserve">Coordinator Utilization</w:t>
      </w:r>
      <w:r>
        <w:t xml:space="preserve">: Hours tracked per coordinator across visit types and admin activities, connected via Excel (fragile but functional)</w:t>
      </w:r>
      <w:r>
        <w:t xml:space="preserve"> </w:t>
      </w:r>
      <w:r>
        <w:t xml:space="preserve">-</w:t>
      </w:r>
      <w:r>
        <w:t xml:space="preserve"> </w:t>
      </w:r>
      <w:r>
        <w:rPr>
          <w:b/>
          <w:bCs/>
        </w:rPr>
        <w:t xml:space="preserve">Backlog/Forecast</w:t>
      </w:r>
      <w:r>
        <w:t xml:space="preserve">: Multi-year scheduled visit revenue forecast (2022–2032)</w:t>
      </w:r>
      <w:r>
        <w:t xml:space="preserve"> </w:t>
      </w:r>
      <w:r>
        <w:t xml:space="preserve">-</w:t>
      </w:r>
      <w:r>
        <w:t xml:space="preserve"> </w:t>
      </w:r>
      <w:r>
        <w:rPr>
          <w:b/>
          <w:bCs/>
        </w:rPr>
        <w:t xml:space="preserve">Calendar View</w:t>
      </w:r>
      <w:r>
        <w:t xml:space="preserve">: Coordinator visit calendar built entirely in Power BI without app development</w:t>
      </w:r>
      <w:r>
        <w:t xml:space="preserve"> </w:t>
      </w:r>
      <w:r>
        <w:t xml:space="preserve">-</w:t>
      </w:r>
      <w:r>
        <w:t xml:space="preserve"> </w:t>
      </w:r>
      <w:r>
        <w:rPr>
          <w:b/>
          <w:bCs/>
        </w:rPr>
        <w:t xml:space="preserve">Site-specific dashboards</w:t>
      </w:r>
      <w:r>
        <w:t xml:space="preserve">: Separate PNL views for Solmed vs. Medico RI — Medico management has live real-time access to their financial performance</w:t>
      </w:r>
    </w:p>
    <w:p>
      <w:pPr>
        <w:pStyle w:val="BlockText"/>
      </w:pPr>
      <w:r>
        <w:t xml:space="preserve">Power BI should be retained and invested in — it is best-in-class for this use case and deeply integrated into the Microsoft ecosystem Solimed already operates in. The primary gaps are: the Excel time tracking data source (fragile), the absence of a semantic layer causing inconsistent metric definitions (e.g., the multi-arm backlog inflation), and the lack of row-level security for multi-country expansion.</w:t>
      </w:r>
    </w:p>
    <w:p>
      <w:r>
        <w:pict>
          <v:rect style="width:0;height:1.5pt" o:hralign="center" o:hrstd="t" o:hr="t"/>
        </w:pict>
      </w:r>
    </w:p>
    <w:bookmarkEnd w:id="19"/>
    <w:bookmarkStart w:id="20" w:name="Xb6d25fe0fafa2af7f242e2236feb1cfe07e3402"/>
    <w:p>
      <w:pPr>
        <w:pStyle w:val="Heading3"/>
      </w:pPr>
      <w:r>
        <w:t xml:space="preserve">ADDITION 3 — Specific Confirmed Pain Points (Section 1 — missing)</w:t>
      </w:r>
    </w:p>
    <w:p>
      <w:pPr>
        <w:pStyle w:val="FirstParagraph"/>
      </w:pPr>
      <w:r>
        <w:t xml:space="preserve">The draft identifies risk categories but not the specific, named pain points that Solimed’s team described. These are the items that will appear in the Statement of Work and must be in any credible assessment.</w:t>
      </w:r>
    </w:p>
    <w:p>
      <w:pPr>
        <w:pStyle w:val="BodyText"/>
      </w:pPr>
      <w:r>
        <w:rPr>
          <w:b/>
          <w:bCs/>
        </w:rPr>
        <w:t xml:space="preserve">Add as new Section 1.5 — Confirmed Operational Pain Points (from Jan 23, 2026 demo):</w:t>
      </w:r>
    </w:p>
    <w:p>
      <w:pPr>
        <w:pStyle w:val="BlockText"/>
      </w:pPr>
      <w:r>
        <w:t xml:space="preserve">The following gaps were explicitly identified by Solimed’s team during the demo. They represent the highest-priority work items:</w:t>
      </w:r>
    </w:p>
    <w:p>
      <w:pPr>
        <w:pStyle w:val="BlockText"/>
        <w:numPr>
          <w:ilvl w:val="0"/>
          <w:numId w:val="1002"/>
        </w:numPr>
      </w:pPr>
      <w:r>
        <w:rPr>
          <w:b/>
          <w:bCs/>
        </w:rPr>
        <w:t xml:space="preserve">Working hours flag on visits</w:t>
      </w:r>
      <w:r>
        <w:t xml:space="preserve"> </w:t>
      </w:r>
      <w:r>
        <w:rPr>
          <w:i/>
          <w:iCs/>
        </w:rPr>
        <w:t xml:space="preserve">(in progress for Feb 2026)</w:t>
      </w:r>
      <w:r>
        <w:t xml:space="preserve">: Visits performed after regular working hours carry different investigator fee rates. The app currently cannot distinguish in-hours from after-hours visits, meaning investigator fees are potentially calculated incorrectly for a subset of visits.</w:t>
      </w:r>
    </w:p>
    <w:p>
      <w:pPr>
        <w:pStyle w:val="BlockText"/>
        <w:numPr>
          <w:ilvl w:val="0"/>
          <w:numId w:val="1002"/>
        </w:numPr>
      </w:pPr>
      <w:r>
        <w:rPr>
          <w:b/>
          <w:bCs/>
        </w:rPr>
        <w:t xml:space="preserve">Multi-arm study backlog inflation</w:t>
      </w:r>
      <w:r>
        <w:t xml:space="preserve">: For studies with multiple protocol arms, the app currently sums all possible arms per patient rather than the patient’s assigned arm. This inflates the backlog and makes the €2.1M forecast unreliable for branching protocols. Ivan:</w:t>
      </w:r>
      <w:r>
        <w:t xml:space="preserve"> </w:t>
      </w:r>
      <w:r>
        <w:t xml:space="preserve">“The app will sum all possibilities. We’ll have a study with a huge overall budget because there are several arms.”</w:t>
      </w:r>
    </w:p>
    <w:p>
      <w:pPr>
        <w:pStyle w:val="BlockText"/>
        <w:numPr>
          <w:ilvl w:val="0"/>
          <w:numId w:val="1002"/>
        </w:numPr>
      </w:pPr>
      <w:r>
        <w:rPr>
          <w:b/>
          <w:bCs/>
        </w:rPr>
        <w:t xml:space="preserve">Screen fail allotment not tracked</w:t>
      </w:r>
      <w:r>
        <w:t xml:space="preserve">: Contracts specify how many screen fails Solimed can bill for. When screen fails exceed the allotment, the overage cannot be billed. This is not tracked in the app — a revenue recognition risk, especially in gastroenterology studies with high screen fail rates. Drew (CFO background):</w:t>
      </w:r>
      <w:r>
        <w:t xml:space="preserve"> </w:t>
      </w:r>
      <w:r>
        <w:t xml:space="preserve">“You have to be careful about the screening revenue that you’re recognizing.”</w:t>
      </w:r>
    </w:p>
    <w:p>
      <w:pPr>
        <w:pStyle w:val="BlockText"/>
        <w:numPr>
          <w:ilvl w:val="0"/>
          <w:numId w:val="1002"/>
        </w:numPr>
      </w:pPr>
      <w:r>
        <w:rPr>
          <w:b/>
          <w:bCs/>
        </w:rPr>
        <w:t xml:space="preserve">Automated investigator specification sending</w:t>
      </w:r>
      <w:r>
        <w:t xml:space="preserve">: Finance currently exports monthly payment specifications manually and emails each investigator. Ivan confirmed the numbers have been accurate for 2–3 months and the team is ready to automate. Each investigator’s contact details are already in the app.</w:t>
      </w:r>
    </w:p>
    <w:p>
      <w:pPr>
        <w:pStyle w:val="BlockText"/>
        <w:numPr>
          <w:ilvl w:val="0"/>
          <w:numId w:val="1002"/>
        </w:numPr>
      </w:pPr>
      <w:r>
        <w:rPr>
          <w:b/>
          <w:bCs/>
        </w:rPr>
        <w:t xml:space="preserve">Time normatives (normita) missing</w:t>
      </w:r>
      <w:r>
        <w:t xml:space="preserve">: No per-visit time expectation exists in the app. Ivan’s proposed approach: derive expected duration from the visit budget (investigator + procedure budget ÷ a configured €/hour rate). Drew validated this matches his bottom-up budgeting methodology.</w:t>
      </w:r>
    </w:p>
    <w:p>
      <w:pPr>
        <w:pStyle w:val="BlockText"/>
        <w:numPr>
          <w:ilvl w:val="0"/>
          <w:numId w:val="1002"/>
        </w:numPr>
      </w:pPr>
      <w:r>
        <w:rPr>
          <w:b/>
          <w:bCs/>
        </w:rPr>
        <w:t xml:space="preserve">Procedure-level visit itemization missing</w:t>
      </w:r>
      <w:r>
        <w:t xml:space="preserve">: Unscheduled visits or partial visits cannot currently be itemized by procedure. Workaround: extract procedures as separate visits. Drew:</w:t>
      </w:r>
      <w:r>
        <w:t xml:space="preserve"> </w:t>
      </w:r>
      <w:r>
        <w:t xml:space="preserve">“If you don’t drill down and show exactly the detail, it’s hard on the finance side to figure out what we can actually bill for.”</w:t>
      </w:r>
    </w:p>
    <w:p>
      <w:pPr>
        <w:pStyle w:val="BlockText"/>
        <w:numPr>
          <w:ilvl w:val="0"/>
          <w:numId w:val="1002"/>
        </w:numPr>
      </w:pPr>
      <w:r>
        <w:rPr>
          <w:b/>
          <w:bCs/>
        </w:rPr>
        <w:t xml:space="preserve">Site filter missing on backlog dashboard</w:t>
      </w:r>
      <w:r>
        <w:t xml:space="preserve">: Ivan noted live during the demo that the backlog dashboard has no site filter and said</w:t>
      </w:r>
      <w:r>
        <w:t xml:space="preserve"> </w:t>
      </w:r>
      <w:r>
        <w:t xml:space="preserve">“I’m going to do that after the call.”</w:t>
      </w:r>
      <w:r>
        <w:t xml:space="preserve"> </w:t>
      </w:r>
      <w:r>
        <w:t xml:space="preserve">This is a known, simple gap.</w:t>
      </w:r>
    </w:p>
    <w:p>
      <w:pPr>
        <w:pStyle w:val="BlockText"/>
        <w:numPr>
          <w:ilvl w:val="0"/>
          <w:numId w:val="1002"/>
        </w:numPr>
      </w:pPr>
      <w:r>
        <w:rPr>
          <w:b/>
          <w:bCs/>
        </w:rPr>
        <w:t xml:space="preserve">Patient-level backlog drill-down missing</w:t>
      </w:r>
      <w:r>
        <w:t xml:space="preserve">: The backlog shows study-level revenue only. Drew asked for patient-level view —</w:t>
      </w:r>
      <w:r>
        <w:t xml:space="preserve"> </w:t>
      </w:r>
      <w:r>
        <w:t xml:space="preserve">“Is there a view where you can look at the patient level versus the study level backlog?”</w:t>
      </w:r>
      <w:r>
        <w:t xml:space="preserve"> </w:t>
      </w:r>
      <w:r>
        <w:t xml:space="preserve">Currently not available.</w:t>
      </w:r>
    </w:p>
    <w:p>
      <w:r>
        <w:pict>
          <v:rect style="width:0;height:1.5pt" o:hralign="center" o:hrstd="t" o:hr="t"/>
        </w:pict>
      </w:r>
    </w:p>
    <w:bookmarkEnd w:id="20"/>
    <w:bookmarkStart w:id="21" w:name="Xbda23dbbdf2d2861e6db46aa9dad59293da4bd4"/>
    <w:p>
      <w:pPr>
        <w:pStyle w:val="Heading3"/>
      </w:pPr>
      <w:r>
        <w:t xml:space="preserve">ADDITION 4 — Investigator Fee Model Complexity (Section 1 — missing)</w:t>
      </w:r>
    </w:p>
    <w:p>
      <w:pPr>
        <w:pStyle w:val="FirstParagraph"/>
      </w:pPr>
      <w:r>
        <w:t xml:space="preserve">The draft mentions</w:t>
      </w:r>
      <w:r>
        <w:t xml:space="preserve"> </w:t>
      </w:r>
      <w:r>
        <w:t xml:space="preserve">“billing integrity”</w:t>
      </w:r>
      <w:r>
        <w:t xml:space="preserve"> </w:t>
      </w:r>
      <w:r>
        <w:t xml:space="preserve">as a risk but does not describe the actual fee structure. This is critical context for any migration or API design.</w:t>
      </w:r>
    </w:p>
    <w:p>
      <w:pPr>
        <w:pStyle w:val="BodyText"/>
      </w:pPr>
      <w:r>
        <w:rPr>
          <w:b/>
          <w:bCs/>
        </w:rPr>
        <w:t xml:space="preserve">Add to Section 1.2 Risk 5 (Billing Integrity):</w:t>
      </w:r>
    </w:p>
    <w:p>
      <w:pPr>
        <w:pStyle w:val="BlockText"/>
      </w:pPr>
      <w:r>
        <w:t xml:space="preserve">Solimed’s investigator fee model is more complex than typical clinical site billing and must be fully documented before any migration. The current model handles:</w:t>
      </w:r>
      <w:r>
        <w:t xml:space="preserve"> </w:t>
      </w:r>
      <w:r>
        <w:t xml:space="preserve">-</w:t>
      </w:r>
      <w:r>
        <w:t xml:space="preserve"> </w:t>
      </w:r>
      <w:r>
        <w:rPr>
          <w:b/>
          <w:bCs/>
        </w:rPr>
        <w:t xml:space="preserve">PI Fee</w:t>
      </w:r>
      <w:r>
        <w:t xml:space="preserve">: Payment for the principal investigator conducting the visit</w:t>
      </w:r>
      <w:r>
        <w:t xml:space="preserve"> </w:t>
      </w:r>
      <w:r>
        <w:t xml:space="preserve">-</w:t>
      </w:r>
      <w:r>
        <w:t xml:space="preserve"> </w:t>
      </w:r>
      <w:r>
        <w:rPr>
          <w:b/>
          <w:bCs/>
        </w:rPr>
        <w:t xml:space="preserve">PI Cut</w:t>
      </w:r>
      <w:r>
        <w:t xml:space="preserve">: Separate percentage the PI receives simply for being the PI on a study, regardless of who conducts the visit</w:t>
      </w:r>
      <w:r>
        <w:t xml:space="preserve"> </w:t>
      </w:r>
      <w:r>
        <w:t xml:space="preserve">-</w:t>
      </w:r>
      <w:r>
        <w:t xml:space="preserve"> </w:t>
      </w:r>
      <w:r>
        <w:rPr>
          <w:b/>
          <w:bCs/>
        </w:rPr>
        <w:t xml:space="preserve">Sub-investigator split</w:t>
      </w:r>
      <w:r>
        <w:t xml:space="preserve">: When a sub-investigator conducts the visit, the PI cut and PI fee are redistributed between PI and sub-I according to agreed percentages</w:t>
      </w:r>
      <w:r>
        <w:t xml:space="preserve"> </w:t>
      </w:r>
      <w:r>
        <w:t xml:space="preserve">-</w:t>
      </w:r>
      <w:r>
        <w:t xml:space="preserve"> </w:t>
      </w:r>
      <w:r>
        <w:rPr>
          <w:b/>
          <w:bCs/>
        </w:rPr>
        <w:t xml:space="preserve">Referral doctor fee</w:t>
      </w:r>
      <w:r>
        <w:t xml:space="preserve">: When a patient was referred by an external doctor, a referral fee is tracked and paid separately</w:t>
      </w:r>
      <w:r>
        <w:t xml:space="preserve"> </w:t>
      </w:r>
      <w:r>
        <w:t xml:space="preserve">-</w:t>
      </w:r>
      <w:r>
        <w:t xml:space="preserve"> </w:t>
      </w:r>
      <w:r>
        <w:rPr>
          <w:b/>
          <w:bCs/>
        </w:rPr>
        <w:t xml:space="preserve">After-hours rate differential</w:t>
      </w:r>
      <w:r>
        <w:t xml:space="preserve">: Visits conducted outside regular working hours carry a different (higher) investigator rate — currently not captured in the app (in-progress fix)</w:t>
      </w:r>
      <w:r>
        <w:t xml:space="preserve"> </w:t>
      </w:r>
      <w:r>
        <w:t xml:space="preserve">-</w:t>
      </w:r>
      <w:r>
        <w:t xml:space="preserve"> </w:t>
      </w:r>
      <w:r>
        <w:rPr>
          <w:b/>
          <w:bCs/>
        </w:rPr>
        <w:t xml:space="preserve">Payment terms per site study</w:t>
      </w:r>
      <w:r>
        <w:t xml:space="preserve">: Each site study has configurable payment terms that determine when billing events are triggered</w:t>
      </w:r>
    </w:p>
    <w:p>
      <w:pPr>
        <w:pStyle w:val="BlockText"/>
      </w:pPr>
      <w:r>
        <w:t xml:space="preserve">Any API layer or data migration must preserve this exact fee logic. It represents years of negotiated contractual terms and investigator relationships. Fee calculation errors would surface immediately — investigators reconcile their monthly specifications and flag discrepancies.</w:t>
      </w:r>
    </w:p>
    <w:p>
      <w:r>
        <w:pict>
          <v:rect style="width:0;height:1.5pt" o:hralign="center" o:hrstd="t" o:hr="t"/>
        </w:pict>
      </w:r>
    </w:p>
    <w:bookmarkEnd w:id="21"/>
    <w:bookmarkStart w:id="22" w:name="Xcb2c56b052e870aea68f9690bde4159d0dad6a4"/>
    <w:p>
      <w:pPr>
        <w:pStyle w:val="Heading3"/>
      </w:pPr>
      <w:r>
        <w:t xml:space="preserve">ADDITION 5 — Amendment Handling (existing capability — not mentioned)</w:t>
      </w:r>
    </w:p>
    <w:p>
      <w:pPr>
        <w:pStyle w:val="FirstParagraph"/>
      </w:pPr>
      <w:r>
        <w:rPr>
          <w:b/>
          <w:bCs/>
        </w:rPr>
        <w:t xml:space="preserve">Add to Section 1 (as a strength, not a gap):</w:t>
      </w:r>
    </w:p>
    <w:p>
      <w:pPr>
        <w:pStyle w:val="BlockText"/>
      </w:pPr>
      <w:r>
        <w:t xml:space="preserve">Solimed has implemented a notable</w:t>
      </w:r>
      <w:r>
        <w:t xml:space="preserve"> </w:t>
      </w:r>
      <w:r>
        <w:t xml:space="preserve">“effective from”</w:t>
      </w:r>
      <w:r>
        <w:t xml:space="preserve"> </w:t>
      </w:r>
      <w:r>
        <w:t xml:space="preserve">date system for budget amendments. When a CRO or sponsor amends a contract mid-study, coordinators can enter the new budget values with a future or retroactive effective date. The system recalculates all visit fees based on the visit date relative to the effective date — not based on when the change was entered. This correctly handles the common scenario of receiving an amendment that applies to past visits. This logic must be preserved exactly in any migration.</w:t>
      </w:r>
    </w:p>
    <w:p>
      <w:r>
        <w:pict>
          <v:rect style="width:0;height:1.5pt" o:hralign="center" o:hrstd="t" o:hr="t"/>
        </w:pict>
      </w:r>
    </w:p>
    <w:bookmarkEnd w:id="22"/>
    <w:bookmarkStart w:id="23" w:name="X4b63ab77beedb5cd95abfb382f5354e92ef8e72"/>
    <w:p>
      <w:pPr>
        <w:pStyle w:val="Heading3"/>
      </w:pPr>
      <w:r>
        <w:t xml:space="preserve">ADDITION 6 — The Strategic Question Answer (Section 6 — incomplete)</w:t>
      </w:r>
    </w:p>
    <w:p>
      <w:pPr>
        <w:pStyle w:val="FirstParagraph"/>
      </w:pPr>
      <w:r>
        <w:t xml:space="preserve">The draft’s key decision point asks:</w:t>
      </w:r>
      <w:r>
        <w:t xml:space="preserve"> </w:t>
      </w:r>
      <w:r>
        <w:rPr>
          <w:i/>
          <w:iCs/>
        </w:rPr>
        <w:t xml:space="preserve">“Are we building toward a scalable CRO platform or optimizing internal operations?”</w:t>
      </w:r>
    </w:p>
    <w:p>
      <w:pPr>
        <w:pStyle w:val="BodyText"/>
      </w:pPr>
      <w:r>
        <w:t xml:space="preserve">The transcript answers this directly. Add the answer:</w:t>
      </w:r>
    </w:p>
    <w:p>
      <w:pPr>
        <w:pStyle w:val="BodyText"/>
      </w:pPr>
      <w:r>
        <w:rPr>
          <w:b/>
          <w:bCs/>
        </w:rPr>
        <w:t xml:space="preserve">Add after Section 6’s question:</w:t>
      </w:r>
    </w:p>
    <w:p>
      <w:pPr>
        <w:pStyle w:val="BlockText"/>
      </w:pPr>
      <w:r>
        <w:rPr>
          <w:b/>
          <w:bCs/>
        </w:rPr>
        <w:t xml:space="preserve">The answer from the Jan 23, 2026 demo:</w:t>
      </w:r>
      <w:r>
        <w:t xml:space="preserve"> </w:t>
      </w:r>
      <w:r>
        <w:t xml:space="preserve">Both — and in that order. The immediate priority is operational optimization (the 8 confirmed pain points above). The medium-term ambition is platform scale — Ivan and Drew explicitly discussed charging CROs for access to the platform. Drew:</w:t>
      </w:r>
      <w:r>
        <w:t xml:space="preserve"> </w:t>
      </w:r>
      <w:r>
        <w:t xml:space="preserve">“Do you guys charge for the app?”</w:t>
      </w:r>
      <w:r>
        <w:t xml:space="preserve"> </w:t>
      </w:r>
      <w:r>
        <w:t xml:space="preserve">Ivan:</w:t>
      </w:r>
      <w:r>
        <w:t xml:space="preserve"> </w:t>
      </w:r>
      <w:r>
        <w:t xml:space="preserve">“Currently no.”</w:t>
      </w:r>
      <w:r>
        <w:t xml:space="preserve"> </w:t>
      </w:r>
      <w:r>
        <w:t xml:space="preserve">Drew:</w:t>
      </w:r>
      <w:r>
        <w:t xml:space="preserve"> </w:t>
      </w:r>
      <w:r>
        <w:t xml:space="preserve">“That needs to change.”</w:t>
      </w:r>
    </w:p>
    <w:p>
      <w:pPr>
        <w:pStyle w:val="BlockText"/>
      </w:pPr>
      <w:r>
        <w:t xml:space="preserve">This confirms the target architecture must support both internal optimization and eventual SaaS productization. The phased approach recommended here is correct — but Phase 4 should explicitly include the commercial model transition from internal tool to licensed platform.</w:t>
      </w:r>
    </w:p>
    <w:p>
      <w:r>
        <w:pict>
          <v:rect style="width:0;height:1.5pt" o:hralign="center" o:hrstd="t" o:hr="t"/>
        </w:pict>
      </w:r>
    </w:p>
    <w:bookmarkEnd w:id="23"/>
    <w:bookmarkStart w:id="24" w:name="Xd381eff1936f4feef346bc8a13279339d4c7b88"/>
    <w:p>
      <w:pPr>
        <w:pStyle w:val="Heading3"/>
      </w:pPr>
      <w:r>
        <w:t xml:space="preserve">ADDITION 7 — Country Selection Framework (Section 3 Phase 4 — missing)</w:t>
      </w:r>
    </w:p>
    <w:p>
      <w:pPr>
        <w:pStyle w:val="FirstParagraph"/>
      </w:pPr>
      <w:r>
        <w:t xml:space="preserve">The draft mentions geographic expansion in Risk 6 but provides no framework for which country to enter first or how to assess readiness.</w:t>
      </w:r>
    </w:p>
    <w:p>
      <w:pPr>
        <w:pStyle w:val="BodyText"/>
      </w:pPr>
      <w:r>
        <w:rPr>
          <w:b/>
          <w:bCs/>
        </w:rPr>
        <w:t xml:space="preserve">Add to Phase 4 (Scale and Differentiate):</w:t>
      </w:r>
    </w:p>
    <w:p>
      <w:pPr>
        <w:pStyle w:val="BlockText"/>
      </w:pPr>
      <w:r>
        <w:rPr>
          <w:b/>
          <w:bCs/>
        </w:rPr>
        <w:t xml:space="preserve">Geographic expansion framework:</w:t>
      </w:r>
      <w:r>
        <w:t xml:space="preserve"> </w:t>
      </w:r>
      <w:r>
        <w:t xml:space="preserve">Not all countries carry equal complexity. Before committing to a target country, assess against four dimensions: regulatory environment, data residency requirements, currency, and language. Recommended first expansion target is a</w:t>
      </w:r>
      <w:r>
        <w:t xml:space="preserve"> </w:t>
      </w:r>
      <w:r>
        <w:rPr>
          <w:b/>
          <w:bCs/>
        </w:rPr>
        <w:t xml:space="preserve">Tier 1 country</w:t>
      </w:r>
      <w:r>
        <w:t xml:space="preserve"> </w:t>
      </w:r>
      <w:r>
        <w:t xml:space="preserve">— an EU member state where GDPR compliance is already addressed by the base platform, the Euro is the currency (no FX integration required at launch), and the regulatory environment is familiar. Slovenia or Austria are natural first candidates given Solimed’s existing Croatian base. Avoid the US (HIPAA) and China (data sovereignty) until the platform has proven its multi-country model in at least 2–3 Tier 1 markets.</w:t>
      </w:r>
    </w:p>
    <w:p>
      <w:r>
        <w:pict>
          <v:rect style="width:0;height:1.5pt" o:hralign="center" o:hrstd="t" o:hr="t"/>
        </w:pict>
      </w:r>
    </w:p>
    <w:bookmarkEnd w:id="24"/>
    <w:bookmarkStart w:id="25" w:name="X8a6f2a14fb3b3d6ec62da529ee584d8707210c2"/>
    <w:p>
      <w:pPr>
        <w:pStyle w:val="Heading3"/>
      </w:pPr>
      <w:r>
        <w:t xml:space="preserve">ADDITION 8 — Retain Power BI Explicitly (Section 2 — missing)</w:t>
      </w:r>
    </w:p>
    <w:p>
      <w:pPr>
        <w:pStyle w:val="FirstParagraph"/>
      </w:pPr>
      <w:r>
        <w:t xml:space="preserve">The draft’s target architecture makes no mention of Power BI. Given that it is Solimed’s strongest current asset, this is a significant omission that should be explicitly addressed.</w:t>
      </w:r>
    </w:p>
    <w:p>
      <w:pPr>
        <w:pStyle w:val="BodyText"/>
      </w:pPr>
      <w:r>
        <w:rPr>
          <w:b/>
          <w:bCs/>
        </w:rPr>
        <w:t xml:space="preserve">Add to Section 2.1 as a named component:</w:t>
      </w:r>
    </w:p>
    <w:p>
      <w:pPr>
        <w:pStyle w:val="BlockText"/>
      </w:pPr>
      <w:r>
        <w:rPr>
          <w:b/>
          <w:bCs/>
        </w:rPr>
        <w:t xml:space="preserve">Reporting: Power BI (retain and invest)</w:t>
      </w:r>
      <w:r>
        <w:t xml:space="preserve"> </w:t>
      </w:r>
      <w:r>
        <w:t xml:space="preserve">— Power BI is the strongest component of Solimed’s current stack. It should not be replaced. The recommended path is Power BI Embedded, which eliminates per-user licensing costs at scale while preserving all existing dashboard investment. The data model feeding Power BI should be migrated from its current Power Apps/Dataverse connection to the new API layer’s Azure SQL database — this improves data freshness, enables real-time dashboard updates, and allows row-level security to be enforced per tenant/country.</w:t>
      </w:r>
    </w:p>
    <w:p>
      <w:r>
        <w:pict>
          <v:rect style="width:0;height:1.5pt" o:hralign="center" o:hrstd="t" o:hr="t"/>
        </w:pict>
      </w:r>
    </w:p>
    <w:bookmarkEnd w:id="25"/>
    <w:bookmarkStart w:id="26" w:name="X15e432e6f3c013d4fe19085a07b354303a6881b"/>
    <w:p>
      <w:pPr>
        <w:pStyle w:val="Heading3"/>
      </w:pPr>
      <w:r>
        <w:t xml:space="preserve">ADDITION 9 — Key Person Risk (missing from all risk sections)</w:t>
      </w:r>
    </w:p>
    <w:p>
      <w:pPr>
        <w:pStyle w:val="FirstParagraph"/>
      </w:pPr>
      <w:r>
        <w:rPr>
          <w:b/>
          <w:bCs/>
        </w:rPr>
        <w:t xml:space="preserve">Add to Section 1.2 as Risk 7:</w:t>
      </w:r>
    </w:p>
    <w:p>
      <w:pPr>
        <w:pStyle w:val="BlockText"/>
      </w:pPr>
      <w:r>
        <w:rPr>
          <w:b/>
          <w:bCs/>
        </w:rPr>
        <w:t xml:space="preserve">Risk 7: Single Developer Dependency</w:t>
      </w:r>
      <w:r>
        <w:t xml:space="preserve"> </w:t>
      </w:r>
      <w:r>
        <w:t xml:space="preserve">Mladen Geng is the sole developer and architect of the platform, holding all institutional knowledge of the data model, business logic, fee calculation rules, and operational workarounds. There is no documentation, no code repository in the traditional sense (Power Apps is not git-versioned), and no second developer who could maintain or evolve the system if Mladen were unavailable.</w:t>
      </w:r>
    </w:p>
    <w:p>
      <w:pPr>
        <w:pStyle w:val="BlockText"/>
      </w:pPr>
      <w:r>
        <w:t xml:space="preserve">For a financial system managing €900K+ in active study budgets, this is a critical operational risk. Immediate mitigation: a structured knowledge transfer and documentation sprint must be the first activity of any engagement — before any new development begins.</w:t>
      </w:r>
    </w:p>
    <w:p>
      <w:r>
        <w:pict>
          <v:rect style="width:0;height:1.5pt" o:hralign="center" o:hrstd="t" o:hr="t"/>
        </w:pict>
      </w:r>
    </w:p>
    <w:bookmarkEnd w:id="26"/>
    <w:bookmarkEnd w:id="27"/>
    <w:bookmarkStart w:id="28" w:name="X23dde0c45e4f67dec472f20c47df2ee7896d841"/>
    <w:p>
      <w:pPr>
        <w:pStyle w:val="Heading2"/>
      </w:pPr>
      <w:r>
        <w:t xml:space="preserve">SECTION 3 — CONFIRMATIONS (Draft got these right — keep as-is)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Draft Section</w:t>
            </w:r>
          </w:p>
        </w:tc>
        <w:tc>
          <w:tcPr/>
          <w:p>
            <w:pPr>
              <w:pStyle w:val="Compact"/>
            </w:pPr>
            <w:r>
              <w:t xml:space="preserve">Why It’s Correct</w:t>
            </w:r>
          </w:p>
        </w:tc>
      </w:tr>
      <w:tr>
        <w:tc>
          <w:tcPr/>
          <w:p>
            <w:pPr>
              <w:pStyle w:val="Compact"/>
            </w:pPr>
            <w:r>
              <w:t xml:space="preserve">Audit / compliance gap</w:t>
            </w:r>
          </w:p>
        </w:tc>
        <w:tc>
          <w:tcPr/>
          <w:p>
            <w:pPr>
              <w:pStyle w:val="Compact"/>
            </w:pPr>
            <w:r>
              <w:t xml:space="preserve">Risk 1</w:t>
            </w:r>
          </w:p>
        </w:tc>
        <w:tc>
          <w:tcPr/>
          <w:p>
            <w:pPr>
              <w:pStyle w:val="Compact"/>
            </w:pPr>
            <w:r>
              <w:t xml:space="preserve">Correct — no PII audit logging; real GDPR exposure for expansion</w:t>
            </w:r>
          </w:p>
        </w:tc>
      </w:tr>
      <w:tr>
        <w:tc>
          <w:tcPr/>
          <w:p>
            <w:pPr>
              <w:pStyle w:val="Compact"/>
            </w:pPr>
            <w:r>
              <w:t xml:space="preserve">No formal API layer</w:t>
            </w:r>
          </w:p>
        </w:tc>
        <w:tc>
          <w:tcPr/>
          <w:p>
            <w:pPr>
              <w:pStyle w:val="Compact"/>
            </w:pPr>
            <w:r>
              <w:t xml:space="preserve">Layer 8</w:t>
            </w:r>
          </w:p>
        </w:tc>
        <w:tc>
          <w:tcPr/>
          <w:p>
            <w:pPr>
              <w:pStyle w:val="Compact"/>
            </w:pPr>
            <w:r>
              <w:t xml:space="preserve">Correct — Power Automate is not sufficient; structured API needed</w:t>
            </w:r>
          </w:p>
        </w:tc>
      </w:tr>
      <w:tr>
        <w:tc>
          <w:tcPr/>
          <w:p>
            <w:pPr>
              <w:pStyle w:val="Compact"/>
            </w:pPr>
            <w:r>
              <w:t xml:space="preserve">Azure SQL as database target</w:t>
            </w:r>
          </w:p>
        </w:tc>
        <w:tc>
          <w:tcPr/>
          <w:p>
            <w:pPr>
              <w:pStyle w:val="Compact"/>
            </w:pPr>
            <w:r>
              <w:t xml:space="preserve">Layer 1</w:t>
            </w:r>
          </w:p>
        </w:tc>
        <w:tc>
          <w:tcPr/>
          <w:p>
            <w:pPr>
              <w:pStyle w:val="Compact"/>
            </w:pPr>
            <w:r>
              <w:t xml:space="preserve">Correct — right choice; already in Microsoft ecosystem</w:t>
            </w:r>
          </w:p>
        </w:tc>
      </w:tr>
      <w:tr>
        <w:tc>
          <w:tcPr/>
          <w:p>
            <w:pPr>
              <w:pStyle w:val="Compact"/>
            </w:pPr>
            <w:r>
              <w:t xml:space="preserve">Power Apps as transitional UI</w:t>
            </w:r>
          </w:p>
        </w:tc>
        <w:tc>
          <w:tcPr/>
          <w:p>
            <w:pPr>
              <w:pStyle w:val="Compact"/>
            </w:pPr>
            <w:r>
              <w:t xml:space="preserve">Phase 1 + Section 5</w:t>
            </w:r>
          </w:p>
        </w:tc>
        <w:tc>
          <w:tcPr/>
          <w:p>
            <w:pPr>
              <w:pStyle w:val="Compact"/>
            </w:pPr>
            <w:r>
              <w:t xml:space="preserve">Correct — don’t rip it out; keep as UI while API layer is built</w:t>
            </w:r>
          </w:p>
        </w:tc>
      </w:tr>
      <w:tr>
        <w:tc>
          <w:tcPr/>
          <w:p>
            <w:pPr>
              <w:pStyle w:val="Compact"/>
            </w:pPr>
            <w:r>
              <w:t xml:space="preserve">Geographic expansion risk</w:t>
            </w:r>
          </w:p>
        </w:tc>
        <w:tc>
          <w:tcPr/>
          <w:p>
            <w:pPr>
              <w:pStyle w:val="Compact"/>
            </w:pPr>
            <w:r>
              <w:t xml:space="preserve">Risk 6</w:t>
            </w:r>
          </w:p>
        </w:tc>
        <w:tc>
          <w:tcPr/>
          <w:p>
            <w:pPr>
              <w:pStyle w:val="Compact"/>
            </w:pPr>
            <w:r>
              <w:t xml:space="preserve">Correct — multi-country requires RBAC, data residency, compliance tooling</w:t>
            </w:r>
          </w:p>
        </w:tc>
      </w:tr>
      <w:tr>
        <w:tc>
          <w:tcPr/>
          <w:p>
            <w:pPr>
              <w:pStyle w:val="Compact"/>
            </w:pPr>
            <w:r>
              <w:t xml:space="preserve">Event-driven billing triggers</w:t>
            </w:r>
          </w:p>
        </w:tc>
        <w:tc>
          <w:tcPr/>
          <w:p>
            <w:pPr>
              <w:pStyle w:val="Compact"/>
            </w:pPr>
            <w:r>
              <w:t xml:space="preserve">Layer 6</w:t>
            </w:r>
          </w:p>
        </w:tc>
        <w:tc>
          <w:tcPr/>
          <w:p>
            <w:pPr>
              <w:pStyle w:val="Compact"/>
            </w:pPr>
            <w:r>
              <w:t xml:space="preserve">Correct — visit completion should auto-generate billable events</w:t>
            </w:r>
          </w:p>
        </w:tc>
      </w:tr>
      <w:tr>
        <w:tc>
          <w:tcPr/>
          <w:p>
            <w:pPr>
              <w:pStyle w:val="Compact"/>
            </w:pPr>
            <w:r>
              <w:t xml:space="preserve">Avoid doubling down on Dataverse</w:t>
            </w:r>
          </w:p>
        </w:tc>
        <w:tc>
          <w:tcPr/>
          <w:p>
            <w:pPr>
              <w:pStyle w:val="Compact"/>
            </w:pPr>
            <w:r>
              <w:t xml:space="preserve">Section 5</w:t>
            </w:r>
          </w:p>
        </w:tc>
        <w:tc>
          <w:tcPr/>
          <w:p>
            <w:pPr>
              <w:pStyle w:val="Compact"/>
            </w:pPr>
            <w:r>
              <w:t xml:space="preserve">Correct — business logic must move to API, not stay in formulas</w:t>
            </w:r>
          </w:p>
        </w:tc>
      </w:tr>
      <w:tr>
        <w:tc>
          <w:tcPr/>
          <w:p>
            <w:pPr>
              <w:pStyle w:val="Compact"/>
            </w:pPr>
            <w:r>
              <w:t xml:space="preserve">Azure Functions / Service Bus</w:t>
            </w:r>
          </w:p>
        </w:tc>
        <w:tc>
          <w:tcPr/>
          <w:p>
            <w:pPr>
              <w:pStyle w:val="Compact"/>
            </w:pPr>
            <w:r>
              <w:t xml:space="preserve">Layer 8</w:t>
            </w:r>
          </w:p>
        </w:tc>
        <w:tc>
          <w:tcPr/>
          <w:p>
            <w:pPr>
              <w:pStyle w:val="Compact"/>
            </w:pPr>
            <w:r>
              <w:t xml:space="preserve">Correct — right tools for async event processing</w:t>
            </w:r>
          </w:p>
        </w:tc>
      </w:tr>
      <w:tr>
        <w:tc>
          <w:tcPr/>
          <w:p>
            <w:pPr>
              <w:pStyle w:val="Compact"/>
            </w:pPr>
            <w:r>
              <w:t xml:space="preserve">“Progressive hardening”</w:t>
            </w:r>
            <w:r>
              <w:t xml:space="preserve"> </w:t>
            </w:r>
            <w:r>
              <w:t xml:space="preserve">approach</w:t>
            </w:r>
          </w:p>
        </w:tc>
        <w:tc>
          <w:tcPr/>
          <w:p>
            <w:pPr>
              <w:pStyle w:val="Compact"/>
            </w:pPr>
            <w:r>
              <w:t xml:space="preserve">Section 2.2</w:t>
            </w:r>
          </w:p>
        </w:tc>
        <w:tc>
          <w:tcPr/>
          <w:p>
            <w:pPr>
              <w:pStyle w:val="Compact"/>
            </w:pPr>
            <w:r>
              <w:t xml:space="preserve">Correct — matches Solimed’s stated preference for incremental improvement</w:t>
            </w:r>
          </w:p>
        </w:tc>
      </w:tr>
      <w:tr>
        <w:tc>
          <w:tcPr/>
          <w:p>
            <w:pPr>
              <w:pStyle w:val="Compact"/>
            </w:pPr>
            <w:r>
              <w:t xml:space="preserve">Strategic question framing</w:t>
            </w:r>
          </w:p>
        </w:tc>
        <w:tc>
          <w:tcPr/>
          <w:p>
            <w:pPr>
              <w:pStyle w:val="Compact"/>
            </w:pPr>
            <w:r>
              <w:t xml:space="preserve">Section 6</w:t>
            </w:r>
          </w:p>
        </w:tc>
        <w:tc>
          <w:tcPr/>
          <w:p>
            <w:pPr>
              <w:pStyle w:val="Compact"/>
            </w:pPr>
            <w:r>
              <w:t xml:space="preserve">Correct question — answer is now known from the transcript (see Addition 6)</w:t>
            </w:r>
          </w:p>
        </w:tc>
      </w:tr>
    </w:tbl>
    <w:p>
      <w:r>
        <w:pict>
          <v:rect style="width:0;height:1.5pt" o:hralign="center" o:hrstd="t" o:hr="t"/>
        </w:pict>
      </w:r>
    </w:p>
    <w:bookmarkEnd w:id="28"/>
    <w:bookmarkStart w:id="32" w:name="section-4-summary-of-changes"/>
    <w:p>
      <w:pPr>
        <w:pStyle w:val="Heading2"/>
      </w:pPr>
      <w:r>
        <w:t xml:space="preserve">SECTION 4 — SUMMARY OF CHANGES</w:t>
      </w:r>
    </w:p>
    <w:bookmarkStart w:id="29" w:name="Xedda5d550e3145cc1655f7a4b89beaec75329ab"/>
    <w:p>
      <w:pPr>
        <w:pStyle w:val="Heading3"/>
      </w:pPr>
      <w:r>
        <w:t xml:space="preserve">High Priority (change before sharing with Solimed)</w:t>
      </w:r>
    </w:p>
    <w:p>
      <w:pPr>
        <w:pStyle w:val="Compact"/>
        <w:numPr>
          <w:ilvl w:val="0"/>
          <w:numId w:val="1003"/>
        </w:numPr>
      </w:pPr>
      <w:r>
        <w:rPr>
          <w:b/>
          <w:bCs/>
        </w:rPr>
        <w:t xml:space="preserve">SECTION 0 ADDITION</w:t>
      </w:r>
      <w:r>
        <w:t xml:space="preserve"> </w:t>
      </w:r>
      <w:r>
        <w:t xml:space="preserve">— Add the recognition/acknowledgment section as the opening — do this first</w:t>
      </w:r>
    </w:p>
    <w:p>
      <w:pPr>
        <w:pStyle w:val="Compact"/>
        <w:numPr>
          <w:ilvl w:val="0"/>
          <w:numId w:val="1003"/>
        </w:numPr>
      </w:pPr>
      <w:r>
        <w:rPr>
          <w:b/>
          <w:bCs/>
        </w:rPr>
        <w:t xml:space="preserve">CORRECTION 1</w:t>
      </w:r>
      <w:r>
        <w:t xml:space="preserve"> </w:t>
      </w:r>
      <w:r>
        <w:t xml:space="preserve">— Reframe the maturity assessment; remove</w:t>
      </w:r>
      <w:r>
        <w:t xml:space="preserve"> </w:t>
      </w:r>
      <w:r>
        <w:t xml:space="preserve">“lightweight tracking tool”</w:t>
      </w:r>
      <w:r>
        <w:t xml:space="preserve"> </w:t>
      </w:r>
      <w:r>
        <w:t xml:space="preserve">language</w:t>
      </w:r>
    </w:p>
    <w:p>
      <w:pPr>
        <w:pStyle w:val="Compact"/>
        <w:numPr>
          <w:ilvl w:val="0"/>
          <w:numId w:val="1003"/>
        </w:numPr>
      </w:pPr>
      <w:r>
        <w:rPr>
          <w:b/>
          <w:bCs/>
        </w:rPr>
        <w:t xml:space="preserve">CORRECTION 2</w:t>
      </w:r>
      <w:r>
        <w:t xml:space="preserve"> </w:t>
      </w:r>
      <w:r>
        <w:t xml:space="preserve">— Remove</w:t>
      </w:r>
      <w:r>
        <w:t xml:space="preserve"> </w:t>
      </w:r>
      <w:r>
        <w:t xml:space="preserve">“paper as primary data capture”</w:t>
      </w:r>
      <w:r>
        <w:t xml:space="preserve">; clarify source docs are deliberate</w:t>
      </w:r>
    </w:p>
    <w:p>
      <w:pPr>
        <w:pStyle w:val="Compact"/>
        <w:numPr>
          <w:ilvl w:val="0"/>
          <w:numId w:val="1003"/>
        </w:numPr>
      </w:pPr>
      <w:r>
        <w:rPr>
          <w:b/>
          <w:bCs/>
        </w:rPr>
        <w:t xml:space="preserve">CORRECTION 3</w:t>
      </w:r>
      <w:r>
        <w:t xml:space="preserve"> </w:t>
      </w:r>
      <w:r>
        <w:t xml:space="preserve">— Remove patient engagement / recruitment layer recommendations</w:t>
      </w:r>
    </w:p>
    <w:p>
      <w:pPr>
        <w:pStyle w:val="Compact"/>
        <w:numPr>
          <w:ilvl w:val="0"/>
          <w:numId w:val="1003"/>
        </w:numPr>
      </w:pPr>
      <w:r>
        <w:rPr>
          <w:b/>
          <w:bCs/>
        </w:rPr>
        <w:t xml:space="preserve">CORRECTION 4</w:t>
      </w:r>
      <w:r>
        <w:t xml:space="preserve"> </w:t>
      </w:r>
      <w:r>
        <w:t xml:space="preserve">— Reframe EDC from</w:t>
      </w:r>
      <w:r>
        <w:t xml:space="preserve"> </w:t>
      </w:r>
      <w:r>
        <w:t xml:space="preserve">“replace paper”</w:t>
      </w:r>
      <w:r>
        <w:t xml:space="preserve"> </w:t>
      </w:r>
      <w:r>
        <w:t xml:space="preserve">to</w:t>
      </w:r>
      <w:r>
        <w:t xml:space="preserve"> </w:t>
      </w:r>
      <w:r>
        <w:t xml:space="preserve">“integrate with CRO-owned EDC”</w:t>
      </w:r>
    </w:p>
    <w:p>
      <w:pPr>
        <w:pStyle w:val="Compact"/>
        <w:numPr>
          <w:ilvl w:val="0"/>
          <w:numId w:val="1003"/>
        </w:numPr>
      </w:pPr>
      <w:r>
        <w:rPr>
          <w:b/>
          <w:bCs/>
        </w:rPr>
        <w:t xml:space="preserve">ADDITION 1</w:t>
      </w:r>
      <w:r>
        <w:t xml:space="preserve"> </w:t>
      </w:r>
      <w:r>
        <w:t xml:space="preserve">— Add strategic context for why they built their own</w:t>
      </w:r>
    </w:p>
    <w:p>
      <w:pPr>
        <w:pStyle w:val="Compact"/>
        <w:numPr>
          <w:ilvl w:val="0"/>
          <w:numId w:val="1003"/>
        </w:numPr>
      </w:pPr>
      <w:r>
        <w:rPr>
          <w:b/>
          <w:bCs/>
        </w:rPr>
        <w:t xml:space="preserve">ADDITION 3</w:t>
      </w:r>
      <w:r>
        <w:t xml:space="preserve"> </w:t>
      </w:r>
      <w:r>
        <w:t xml:space="preserve">— Add all 8 confirmed pain points from the demo</w:t>
      </w:r>
    </w:p>
    <w:p>
      <w:pPr>
        <w:pStyle w:val="Compact"/>
        <w:numPr>
          <w:ilvl w:val="0"/>
          <w:numId w:val="1003"/>
        </w:numPr>
      </w:pPr>
      <w:r>
        <w:rPr>
          <w:b/>
          <w:bCs/>
        </w:rPr>
        <w:t xml:space="preserve">ADDITION 9</w:t>
      </w:r>
      <w:r>
        <w:t xml:space="preserve"> </w:t>
      </w:r>
      <w:r>
        <w:t xml:space="preserve">— Add Mladen key person risk</w:t>
      </w:r>
    </w:p>
    <w:bookmarkEnd w:id="29"/>
    <w:bookmarkStart w:id="30" w:name="medium-priority-add-before-final-version"/>
    <w:p>
      <w:pPr>
        <w:pStyle w:val="Heading3"/>
      </w:pPr>
      <w:r>
        <w:t xml:space="preserve">Medium Priority (add before final version)</w:t>
      </w:r>
    </w:p>
    <w:p>
      <w:pPr>
        <w:pStyle w:val="Compact"/>
        <w:numPr>
          <w:ilvl w:val="0"/>
          <w:numId w:val="1004"/>
        </w:numPr>
      </w:pPr>
      <w:r>
        <w:rPr>
          <w:b/>
          <w:bCs/>
        </w:rPr>
        <w:t xml:space="preserve">ADDITION 2</w:t>
      </w:r>
      <w:r>
        <w:t xml:space="preserve"> </w:t>
      </w:r>
      <w:r>
        <w:t xml:space="preserve">— Add Power BI as a strength (Section 1.4)</w:t>
      </w:r>
    </w:p>
    <w:p>
      <w:pPr>
        <w:pStyle w:val="Compact"/>
        <w:numPr>
          <w:ilvl w:val="0"/>
          <w:numId w:val="1004"/>
        </w:numPr>
      </w:pPr>
      <w:r>
        <w:rPr>
          <w:b/>
          <w:bCs/>
        </w:rPr>
        <w:t xml:space="preserve">ADDITION 4</w:t>
      </w:r>
      <w:r>
        <w:t xml:space="preserve"> </w:t>
      </w:r>
      <w:r>
        <w:t xml:space="preserve">— Add investigator fee model complexity</w:t>
      </w:r>
    </w:p>
    <w:p>
      <w:pPr>
        <w:pStyle w:val="Compact"/>
        <w:numPr>
          <w:ilvl w:val="0"/>
          <w:numId w:val="1004"/>
        </w:numPr>
      </w:pPr>
      <w:r>
        <w:rPr>
          <w:b/>
          <w:bCs/>
        </w:rPr>
        <w:t xml:space="preserve">ADDITION 5</w:t>
      </w:r>
      <w:r>
        <w:t xml:space="preserve"> </w:t>
      </w:r>
      <w:r>
        <w:t xml:space="preserve">— Add amendment</w:t>
      </w:r>
      <w:r>
        <w:t xml:space="preserve"> </w:t>
      </w:r>
      <w:r>
        <w:t xml:space="preserve">“effective from”</w:t>
      </w:r>
      <w:r>
        <w:t xml:space="preserve"> </w:t>
      </w:r>
      <w:r>
        <w:t xml:space="preserve">system as a strength</w:t>
      </w:r>
    </w:p>
    <w:p>
      <w:pPr>
        <w:pStyle w:val="Compact"/>
        <w:numPr>
          <w:ilvl w:val="0"/>
          <w:numId w:val="1004"/>
        </w:numPr>
      </w:pPr>
      <w:r>
        <w:rPr>
          <w:b/>
          <w:bCs/>
        </w:rPr>
        <w:t xml:space="preserve">ADDITION 6</w:t>
      </w:r>
      <w:r>
        <w:t xml:space="preserve"> </w:t>
      </w:r>
      <w:r>
        <w:t xml:space="preserve">— Add the answer to the strategic question from the transcript</w:t>
      </w:r>
    </w:p>
    <w:p>
      <w:pPr>
        <w:pStyle w:val="Compact"/>
        <w:numPr>
          <w:ilvl w:val="0"/>
          <w:numId w:val="1004"/>
        </w:numPr>
      </w:pPr>
      <w:r>
        <w:rPr>
          <w:b/>
          <w:bCs/>
        </w:rPr>
        <w:t xml:space="preserve">ADDITION 8</w:t>
      </w:r>
      <w:r>
        <w:t xml:space="preserve"> </w:t>
      </w:r>
      <w:r>
        <w:t xml:space="preserve">— Explicitly retain Power BI in target architecture</w:t>
      </w:r>
    </w:p>
    <w:p>
      <w:pPr>
        <w:pStyle w:val="Compact"/>
        <w:numPr>
          <w:ilvl w:val="0"/>
          <w:numId w:val="1004"/>
        </w:numPr>
      </w:pPr>
      <w:r>
        <w:rPr>
          <w:b/>
          <w:bCs/>
        </w:rPr>
        <w:t xml:space="preserve">CORRECTION 5</w:t>
      </w:r>
      <w:r>
        <w:t xml:space="preserve"> </w:t>
      </w:r>
      <w:r>
        <w:t xml:space="preserve">— Soften the</w:t>
      </w:r>
      <w:r>
        <w:t xml:space="preserve"> </w:t>
      </w:r>
      <w:r>
        <w:t xml:space="preserve">“don’t extend Power Apps”</w:t>
      </w:r>
      <w:r>
        <w:t xml:space="preserve"> </w:t>
      </w:r>
      <w:r>
        <w:t xml:space="preserve">language</w:t>
      </w:r>
    </w:p>
    <w:bookmarkEnd w:id="30"/>
    <w:bookmarkStart w:id="31" w:name="lower-priority-add-for-completeness"/>
    <w:p>
      <w:pPr>
        <w:pStyle w:val="Heading3"/>
      </w:pPr>
      <w:r>
        <w:t xml:space="preserve">Lower Priority (add for completeness)</w:t>
      </w:r>
    </w:p>
    <w:p>
      <w:pPr>
        <w:pStyle w:val="Compact"/>
        <w:numPr>
          <w:ilvl w:val="0"/>
          <w:numId w:val="1005"/>
        </w:numPr>
      </w:pPr>
      <w:r>
        <w:rPr>
          <w:b/>
          <w:bCs/>
        </w:rPr>
        <w:t xml:space="preserve">ADDITION 7</w:t>
      </w:r>
      <w:r>
        <w:t xml:space="preserve"> </w:t>
      </w:r>
      <w:r>
        <w:t xml:space="preserve">— Country selection framework / Tier 1 recommendation</w:t>
      </w:r>
    </w:p>
    <w:p>
      <w:pPr>
        <w:pStyle w:val="Compact"/>
        <w:numPr>
          <w:ilvl w:val="0"/>
          <w:numId w:val="1005"/>
        </w:numPr>
      </w:pPr>
      <w:r>
        <w:t xml:space="preserve">Maturity table correction (Correction 1 sub-table)</w:t>
      </w:r>
    </w:p>
    <w:p>
      <w:r>
        <w:pict>
          <v:rect style="width:0;height:1.5pt" o:hralign="center" o:hrstd="t" o:hr="t"/>
        </w:pict>
      </w:r>
    </w:p>
    <w:p>
      <w:pPr>
        <w:pStyle w:val="FirstParagraph"/>
      </w:pPr>
      <w:r>
        <w:rPr>
          <w:i/>
          <w:iCs/>
        </w:rPr>
        <w:t xml:space="preserve">Gap analysis based on: Solmed_CTO_Assessment_DRAFT.docx (Eric Garrison, WTE Solutions) vs. Pivot analysis of Jan 23, 2026 demo recording (visual + Whisper transcript).</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2026-04-02T15:35:43Z</dcterms:created>
  <dcterms:modified xsi:type="dcterms:W3CDTF">2026-04-02T15:35:43Z</dcterms:modified>
</cp:coreProperties>
</file>

<file path=docProps/custom.xml><?xml version="1.0" encoding="utf-8"?>
<Properties xmlns="http://schemas.openxmlformats.org/officeDocument/2006/custom-properties" xmlns:vt="http://schemas.openxmlformats.org/officeDocument/2006/docPropsVTypes"/>
</file>