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after="120"/>
        <w:jc w:val="center"/>
      </w:pPr>
      <w:r>
        <w:rPr>
          <w:rFonts w:ascii="Arial" w:cs="Arial" w:eastAsia="Arial" w:hAnsi="Arial"/>
          <w:b/>
          <w:bCs/>
          <w:color w:val="1A5276"/>
          <w:sz w:val="40"/>
          <w:szCs w:val="40"/>
        </w:rPr>
        <w:t xml:space="preserve">BITÁCORA DE CONFIGURACIÓN</w:t>
      </w:r>
    </w:p>
    <w:p>
      <w:pPr>
        <w:spacing w:after="80"/>
        <w:jc w:val="center"/>
      </w:pPr>
      <w:r>
        <w:rPr>
          <w:rFonts w:ascii="Arial" w:cs="Arial" w:eastAsia="Arial" w:hAnsi="Arial"/>
          <w:b/>
          <w:bCs/>
          <w:color w:val="2E86C1"/>
          <w:sz w:val="36"/>
          <w:szCs w:val="36"/>
        </w:rPr>
        <w:t xml:space="preserve">GOOGLE ADS + GA4 + GTM</w:t>
      </w:r>
    </w:p>
    <w:p>
      <w:pPr>
        <w:spacing w:before="40" w:after="40"/>
      </w:pPr>
    </w:p>
    <w:p>
      <w:pPr>
        <w:pBdr>
          <w:bottom w:val="single" w:color="E67E22" w:sz="6" w:space="1"/>
        </w:pBdr>
        <w:jc w:val="center"/>
      </w:pPr>
    </w:p>
    <w:p>
      <w:pPr>
        <w:spacing w:before="40" w:after="40"/>
      </w:pPr>
    </w:p>
    <w:p>
      <w:pPr>
        <w:spacing w:after="60"/>
        <w:jc w:val="center"/>
      </w:pPr>
      <w:r>
        <w:rPr>
          <w:rFonts w:ascii="Arial" w:cs="Arial" w:eastAsia="Arial" w:hAnsi="Arial"/>
          <w:color w:val="2C3E50"/>
          <w:sz w:val="32"/>
          <w:szCs w:val="32"/>
        </w:rPr>
        <w:t xml:space="preserve">Feria Effix 2026</w:t>
      </w:r>
    </w:p>
    <w:p>
      <w:pPr>
        <w:spacing w:after="60"/>
        <w:jc w:val="center"/>
      </w:pPr>
      <w:r>
        <w:rPr>
          <w:rFonts w:ascii="Arial" w:cs="Arial" w:eastAsia="Arial" w:hAnsi="Arial"/>
          <w:color w:val="7F8C8D"/>
          <w:sz w:val="24"/>
          <w:szCs w:val="24"/>
        </w:rPr>
        <w:t xml:space="preserve">16 - 18 de Octubre | Plaza Mayor, Medellín</w:t>
      </w:r>
    </w:p>
    <w:p>
      <w:pPr>
        <w:spacing w:before="40" w:after="40"/>
      </w:pPr>
    </w:p>
    <w:p>
      <w:pPr>
        <w:spacing w:before="40" w:after="40"/>
      </w:pPr>
    </w:p>
    <w:p>
      <w:pPr>
        <w:spacing w:before="40" w:after="40"/>
      </w:pPr>
    </w:p>
    <w:p>
      <w:pPr>
        <w:jc w:val="center"/>
      </w:pPr>
      <w:r>
        <w:rPr>
          <w:rFonts w:ascii="Arial" w:cs="Arial" w:eastAsia="Arial" w:hAnsi="Arial"/>
          <w:color w:val="7F8C8D"/>
          <w:sz w:val="22"/>
          <w:szCs w:val="22"/>
        </w:rPr>
        <w:t xml:space="preserve">Fecha de configuración: 10 de marzo de 2026</w:t>
      </w:r>
    </w:p>
    <w:p>
      <w:pPr>
        <w:spacing w:after="60"/>
        <w:jc w:val="center"/>
      </w:pPr>
      <w:r>
        <w:rPr>
          <w:rFonts w:ascii="Arial" w:cs="Arial" w:eastAsia="Arial" w:hAnsi="Arial"/>
          <w:color w:val="7F8C8D"/>
          <w:sz w:val="22"/>
          <w:szCs w:val="22"/>
        </w:rPr>
        <w:t xml:space="preserve">Documento de registro interno</w:t>
      </w:r>
    </w:p>
    <w:p>
      <w:pPr>
        <w:spacing w:before="40" w:after="40"/>
      </w:pPr>
    </w:p>
    <w:p>
      <w:pPr>
        <w:spacing w:before="40" w:after="40"/>
      </w:pPr>
    </w:p>
    <w:p>
      <w:pPr>
        <w:spacing w:before="40" w:after="40"/>
      </w:pPr>
    </w:p>
    <w:p>
      <w:pPr>
        <w:spacing w:before="40" w:after="40"/>
      </w:pPr>
    </w:p>
    <w:p>
      <w:pPr>
        <w:spacing w:before="40" w:after="40"/>
      </w:pPr>
    </w:p>
    <w:p>
      <w:pPr>
        <w:spacing w:before="40" w:after="40"/>
      </w:pPr>
    </w:p>
    <w:p>
      <w:pPr>
        <w:jc w:val="center"/>
      </w:pPr>
      <w:r>
        <w:rPr>
          <w:rFonts w:ascii="Arial" w:cs="Arial" w:eastAsia="Arial" w:hAnsi="Arial"/>
          <w:color w:val="7F8C8D"/>
          <w:sz w:val="20"/>
          <w:szCs w:val="20"/>
        </w:rPr>
        <w:t xml:space="preserve">Grupo Effi | EffiX S.A.S. | NIT 901497359</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Resumen ejecutivo</w:t>
      </w:r>
    </w:p>
    <w:p>
      <w:pPr>
        <w:spacing w:before="80" w:after="80"/>
      </w:pPr>
      <w:r>
        <w:rPr>
          <w:rFonts w:ascii="Arial" w:cs="Arial" w:eastAsia="Arial" w:hAnsi="Arial"/>
          <w:color w:val="2C3E50"/>
          <w:sz w:val="21"/>
          <w:szCs w:val="21"/>
        </w:rPr>
        <w:t xml:space="preserve">Este documento registra el proceso completo de configuración de la infraestructura publicitaria de Google Ads para Feria Effix 2026, realizada el 10 de marzo de 2026. Incluye los pasos completados, los IDs y credenciales de cada plataforma, las decisiones tomadas durante el proceso, y los pasos pendientes para completar la implementación.</w:t>
      </w:r>
    </w:p>
    <w:p>
      <w:pPr>
        <w:spacing w:before="40" w:after="40"/>
      </w:pPr>
    </w:p>
    <w:p>
      <w:pPr>
        <w:pStyle w:val="Heading1"/>
        <w:spacing w:before="360" w:after="200"/>
      </w:pPr>
      <w:r>
        <w:rPr>
          <w:rFonts w:ascii="Arial" w:cs="Arial" w:eastAsia="Arial" w:hAnsi="Arial"/>
          <w:b/>
          <w:bCs/>
          <w:color w:val="1A5276"/>
          <w:sz w:val="32"/>
          <w:szCs w:val="32"/>
        </w:rPr>
        <w:t xml:space="preserve">2. Cuentas y plataformas configuradas</w:t>
      </w:r>
    </w:p>
    <w:p>
      <w:pPr>
        <w:pStyle w:val="Heading2"/>
        <w:spacing w:before="280" w:after="160"/>
      </w:pPr>
      <w:r>
        <w:rPr>
          <w:rFonts w:ascii="Arial" w:cs="Arial" w:eastAsia="Arial" w:hAnsi="Arial"/>
          <w:b/>
          <w:bCs/>
          <w:color w:val="2E86C1"/>
          <w:sz w:val="26"/>
          <w:szCs w:val="26"/>
        </w:rPr>
        <w:t xml:space="preserve">2.1 Google Ads</w:t>
      </w:r>
    </w:p>
    <w:p>
      <w:pPr>
        <w:spacing w:before="80" w:after="80"/>
      </w:pPr>
      <w:r>
        <w:rPr>
          <w:rFonts w:ascii="Arial" w:cs="Arial" w:eastAsia="Arial" w:hAnsi="Arial"/>
          <w:b w:val="false"/>
          <w:bCs w:val="false"/>
          <w:color w:val="2C3E50"/>
          <w:sz w:val="21"/>
          <w:szCs w:val="21"/>
        </w:rPr>
        <w:t xml:space="preserve">Se creó una cuenta nueva de Google Ads desde cero utilizando el correo </w:t>
      </w:r>
      <w:r>
        <w:rPr>
          <w:rFonts w:ascii="Arial" w:cs="Arial" w:eastAsia="Arial" w:hAnsi="Arial"/>
          <w:b/>
          <w:bCs/>
          <w:color w:val="2C3E50"/>
          <w:sz w:val="21"/>
          <w:szCs w:val="21"/>
        </w:rPr>
        <w:t xml:space="preserve">pautaferiaeffix@gmail.com</w:t>
      </w:r>
      <w:r>
        <w:rPr>
          <w:rFonts w:ascii="Arial" w:cs="Arial" w:eastAsia="Arial" w:hAnsi="Arial"/>
          <w:b w:val="false"/>
          <w:bCs w:val="false"/>
          <w:color w:val="2C3E50"/>
          <w:sz w:val="21"/>
          <w:szCs w:val="21"/>
        </w:rPr>
        <w:t xml:space="preserve">. La cuenta se configuró como perfil de Organización bajo la razón social Effix S.A.S.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ID de cuenta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356-853-8992</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Correo de acceso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Tipo de perfil</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Organización</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Nombre de la organización</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Effix S.A.S.</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NIT</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901497359</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País de facturación</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Colombia</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Zona horaria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(GMT-05:00) Hora estándar de Colombia</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Moneda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COP (Peso colombiano)</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Etiquetado automático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Activado</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Estado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Activa — Sin campañas</w:t>
            </w:r>
          </w:p>
        </w:tc>
      </w:tr>
    </w:tbl>
    <w:p>
      <w:pPr>
        <w:spacing w:before="40" w:after="40"/>
      </w:pPr>
    </w:p>
    <w:p>
      <w:pPr>
        <w:spacing w:before="200" w:after="120"/>
      </w:pPr>
      <w:r>
        <w:rPr>
          <w:rFonts w:ascii="Arial" w:cs="Arial" w:eastAsia="Arial" w:hAnsi="Arial"/>
          <w:b/>
          <w:bCs/>
          <w:color w:val="2C3E50"/>
          <w:sz w:val="22"/>
          <w:szCs w:val="22"/>
        </w:rPr>
        <w:t xml:space="preserve">Crédito promocional</w:t>
      </w:r>
    </w:p>
    <w:p>
      <w:pPr>
        <w:spacing w:before="80" w:after="80"/>
      </w:pPr>
      <w:r>
        <w:rPr>
          <w:rFonts w:ascii="Arial" w:cs="Arial" w:eastAsia="Arial" w:hAnsi="Arial"/>
          <w:color w:val="2C3E50"/>
          <w:sz w:val="21"/>
          <w:szCs w:val="21"/>
        </w:rPr>
        <w:t xml:space="preserve">Google ofreció un crédito publicitario de COP $3,770,000 (aproximadamente USD $1,000) al invertir COP $7,530,000 (aproximadamente USD $2,000) antes del 8 de mayo de 2026. La oferta quedó registrada en la cuenta y está pendiente de activación al iniciar el gasto publicitario.</w:t>
      </w:r>
    </w:p>
    <w:p>
      <w:pPr>
        <w:spacing w:before="40" w:after="40"/>
      </w:pPr>
    </w:p>
    <w:p>
      <w:pPr>
        <w:spacing w:before="200" w:after="120"/>
      </w:pPr>
      <w:r>
        <w:rPr>
          <w:rFonts w:ascii="Arial" w:cs="Arial" w:eastAsia="Arial" w:hAnsi="Arial"/>
          <w:b/>
          <w:bCs/>
          <w:color w:val="2C3E50"/>
          <w:sz w:val="22"/>
          <w:szCs w:val="22"/>
        </w:rPr>
        <w:t xml:space="preserve">Decisión sobre moneda</w:t>
      </w:r>
    </w:p>
    <w:p>
      <w:pPr>
        <w:spacing w:before="80" w:after="80"/>
      </w:pPr>
      <w:r>
        <w:rPr>
          <w:rFonts w:ascii="Arial" w:cs="Arial" w:eastAsia="Arial" w:hAnsi="Arial"/>
          <w:color w:val="2C3E50"/>
          <w:sz w:val="21"/>
          <w:szCs w:val="21"/>
        </w:rPr>
        <w:t xml:space="preserve">La cuenta quedó configurada en COP (pesos colombianos). Aunque el plan original contemplaba USD, esto no afecta la operación — los presupuestos del documento de estrategia se convertirán a COP al momento de configurar las campañas. Esta decisión es irreversible (la moneda no se puede cambiar una vez creada la cuenta).</w:t>
      </w:r>
    </w:p>
    <w:p>
      <w:pPr>
        <w:spacing w:before="40" w:after="40"/>
      </w:pPr>
    </w:p>
    <w:p>
      <w:pPr>
        <w:pStyle w:val="Heading2"/>
        <w:spacing w:before="280" w:after="160"/>
      </w:pPr>
      <w:r>
        <w:rPr>
          <w:rFonts w:ascii="Arial" w:cs="Arial" w:eastAsia="Arial" w:hAnsi="Arial"/>
          <w:b/>
          <w:bCs/>
          <w:color w:val="2E86C1"/>
          <w:sz w:val="26"/>
          <w:szCs w:val="26"/>
        </w:rPr>
        <w:t xml:space="preserve">2.2 Google Analytics 4 (GA4)</w:t>
      </w:r>
    </w:p>
    <w:p>
      <w:pPr>
        <w:spacing w:before="80" w:after="80"/>
      </w:pPr>
      <w:r>
        <w:rPr>
          <w:rFonts w:ascii="Arial" w:cs="Arial" w:eastAsia="Arial" w:hAnsi="Arial"/>
          <w:color w:val="2C3E50"/>
          <w:sz w:val="21"/>
          <w:szCs w:val="21"/>
        </w:rPr>
        <w:t xml:space="preserve">Se decidió utilizar una propiedad de GA4 existente que ya estaba instalada y recibiendo datos de feriaeffix.com, en lugar de crear una propiedad nueva. Esta decisión permite aprovechar el historial de datos de tráfico acumulado por el equipo de Grupo Effi.</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ID de medición</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G-CRXZ50VX7D</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ID del flujo de datos</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13248640925</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Nombre del flujo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feriaeffix.com</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URL</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https://feriaeffix.com</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Medición mejorada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Activada</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Estado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Activa — Recibiendo datos en tiempo real</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Vinculada con Google Ads</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Sí — Cuenta 356-853-8992</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Fecha de vinculación</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10 de marzo de 2026</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Publicidad personalizada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Habilitada</w:t>
            </w:r>
          </w:p>
        </w:tc>
      </w:tr>
    </w:tbl>
    <w:p>
      <w:pPr>
        <w:spacing w:before="40" w:after="40"/>
      </w:pPr>
    </w:p>
    <w:p>
      <w:pPr>
        <w:spacing w:before="200" w:after="120"/>
      </w:pPr>
      <w:r>
        <w:rPr>
          <w:rFonts w:ascii="Arial" w:cs="Arial" w:eastAsia="Arial" w:hAnsi="Arial"/>
          <w:b/>
          <w:bCs/>
          <w:color w:val="2C3E50"/>
          <w:sz w:val="22"/>
          <w:szCs w:val="22"/>
        </w:rPr>
        <w:t xml:space="preserve">Datos observados al momento de la configuración</w:t>
      </w:r>
    </w:p>
    <w:p>
      <w:pPr>
        <w:pStyle w:val="ListParagraph"/>
        <w:numPr>
          <w:ilvl w:val="0"/>
          <w:numId w:val="2"/>
        </w:numPr>
        <w:spacing w:before="40" w:after="40"/>
      </w:pPr>
      <w:r>
        <w:rPr>
          <w:rFonts w:ascii="Arial" w:cs="Arial" w:eastAsia="Arial" w:hAnsi="Arial"/>
          <w:color w:val="2C3E50"/>
          <w:sz w:val="21"/>
          <w:szCs w:val="21"/>
        </w:rPr>
        <w:t xml:space="preserve">54 usuarios activos en los últimos 30 minutos</w:t>
      </w:r>
    </w:p>
    <w:p>
      <w:pPr>
        <w:pStyle w:val="ListParagraph"/>
        <w:numPr>
          <w:ilvl w:val="0"/>
          <w:numId w:val="2"/>
        </w:numPr>
        <w:spacing w:before="40" w:after="40"/>
      </w:pPr>
      <w:r>
        <w:rPr>
          <w:rFonts w:ascii="Arial" w:cs="Arial" w:eastAsia="Arial" w:hAnsi="Arial"/>
          <w:color w:val="2C3E50"/>
          <w:sz w:val="21"/>
          <w:szCs w:val="21"/>
        </w:rPr>
        <w:t xml:space="preserve">11,000+ usuarios en los últimos 7 días (crecimiento de 2,635%)</w:t>
      </w:r>
    </w:p>
    <w:p>
      <w:pPr>
        <w:pStyle w:val="ListParagraph"/>
        <w:numPr>
          <w:ilvl w:val="0"/>
          <w:numId w:val="2"/>
        </w:numPr>
        <w:spacing w:before="40" w:after="40"/>
      </w:pPr>
      <w:r>
        <w:rPr>
          <w:rFonts w:ascii="Arial" w:cs="Arial" w:eastAsia="Arial" w:hAnsi="Arial"/>
          <w:color w:val="2C3E50"/>
          <w:sz w:val="21"/>
          <w:szCs w:val="21"/>
        </w:rPr>
        <w:t xml:space="preserve">40,000+ sesiones en el período reciente</w:t>
      </w:r>
    </w:p>
    <w:p>
      <w:pPr>
        <w:pStyle w:val="ListParagraph"/>
        <w:numPr>
          <w:ilvl w:val="0"/>
          <w:numId w:val="2"/>
        </w:numPr>
        <w:spacing w:before="40" w:after="40"/>
      </w:pPr>
      <w:r>
        <w:rPr>
          <w:rFonts w:ascii="Arial" w:cs="Arial" w:eastAsia="Arial" w:hAnsi="Arial"/>
          <w:color w:val="2C3E50"/>
          <w:sz w:val="21"/>
          <w:szCs w:val="21"/>
        </w:rPr>
        <w:t xml:space="preserve">Principales países: República Dominicana (4,400), El Salvador (2,500), Colombia (1,700), Ecuador (1,300), Perú (900)</w:t>
      </w:r>
    </w:p>
    <w:p>
      <w:pPr>
        <w:pStyle w:val="ListParagraph"/>
        <w:numPr>
          <w:ilvl w:val="0"/>
          <w:numId w:val="2"/>
        </w:numPr>
        <w:spacing w:before="40" w:after="40"/>
      </w:pPr>
      <w:r>
        <w:rPr>
          <w:rFonts w:ascii="Arial" w:cs="Arial" w:eastAsia="Arial" w:hAnsi="Arial"/>
          <w:color w:val="2C3E50"/>
          <w:sz w:val="21"/>
          <w:szCs w:val="21"/>
        </w:rPr>
        <w:t xml:space="preserve">Canales principales: Paid Social (6,300 sesiones), Paid Other (5,500), Organic Search (315), Direct (409)</w:t>
      </w:r>
    </w:p>
    <w:p>
      <w:pPr>
        <w:pStyle w:val="ListParagraph"/>
        <w:numPr>
          <w:ilvl w:val="0"/>
          <w:numId w:val="2"/>
        </w:numPr>
        <w:spacing w:before="40" w:after="40"/>
      </w:pPr>
      <w:r>
        <w:rPr>
          <w:rFonts w:ascii="Arial" w:cs="Arial" w:eastAsia="Arial" w:hAnsi="Arial"/>
          <w:color w:val="2C3E50"/>
          <w:sz w:val="21"/>
          <w:szCs w:val="21"/>
        </w:rPr>
        <w:t xml:space="preserve">Páginas más visitadas: Stands (14,000 vistas), Home (346), Entradas (120), Entrada Black (97)</w:t>
      </w:r>
    </w:p>
    <w:p>
      <w:pPr>
        <w:spacing w:before="40" w:after="40"/>
      </w:pPr>
    </w:p>
    <w:p>
      <w:pPr>
        <w:spacing w:before="200" w:after="120"/>
      </w:pPr>
      <w:r>
        <w:rPr>
          <w:rFonts w:ascii="Arial" w:cs="Arial" w:eastAsia="Arial" w:hAnsi="Arial"/>
          <w:b/>
          <w:bCs/>
          <w:color w:val="2C3E50"/>
          <w:sz w:val="22"/>
          <w:szCs w:val="22"/>
        </w:rPr>
        <w:t xml:space="preserve">Nota sobre propiedad adicional</w:t>
      </w:r>
    </w:p>
    <w:p>
      <w:pPr>
        <w:spacing w:before="80" w:after="80"/>
      </w:pPr>
      <w:r>
        <w:rPr>
          <w:rFonts w:ascii="Arial" w:cs="Arial" w:eastAsia="Arial" w:hAnsi="Arial"/>
          <w:color w:val="2C3E50"/>
          <w:sz w:val="21"/>
          <w:szCs w:val="21"/>
        </w:rPr>
        <w:t xml:space="preserve">Durante el proceso se creó accidentalmente una segunda propiedad de GA4 (nombre: Feria Effix 2026, flujo ID: 13883742361, medición: G-6DQBGWG7RS) que NO está recibiendo datos ni tiene el tag instalado. Esta propiedad puede eliminarse o ignorarse. La propiedad activa y vinculada con Google Ads es la que tiene el ID G-CRXZ50VX7D.</w:t>
      </w:r>
    </w:p>
    <w:p>
      <w:pPr>
        <w:spacing w:before="40" w:after="40"/>
      </w:pPr>
    </w:p>
    <w:p>
      <w:pPr>
        <w:pStyle w:val="Heading2"/>
        <w:spacing w:before="280" w:after="160"/>
      </w:pPr>
      <w:r>
        <w:rPr>
          <w:rFonts w:ascii="Arial" w:cs="Arial" w:eastAsia="Arial" w:hAnsi="Arial"/>
          <w:b/>
          <w:bCs/>
          <w:color w:val="2E86C1"/>
          <w:sz w:val="26"/>
          <w:szCs w:val="26"/>
        </w:rPr>
        <w:t xml:space="preserve">2.3 Google Tag Manager (GTM)</w:t>
      </w:r>
    </w:p>
    <w:p>
      <w:pPr>
        <w:spacing w:before="80" w:after="80"/>
      </w:pPr>
      <w:r>
        <w:rPr>
          <w:rFonts w:ascii="Arial" w:cs="Arial" w:eastAsia="Arial" w:hAnsi="Arial"/>
          <w:color w:val="2C3E50"/>
          <w:sz w:val="21"/>
          <w:szCs w:val="21"/>
        </w:rPr>
        <w:t xml:space="preserve">Se verificó que Google Tag Manager ya estaba instalado y funcionando en feriaeffix.com. Se utilizó la extensión Tag Assistant para confirmar la instalación.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ID del contenedor</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GTM-TLRMK246</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Google Tag detectada</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GT-P8QZK4S6</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Sitio verificado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feriaeffix.com</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Estado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Activo — Instalado y funcionando</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Acceso</w:t>
            </w:r>
          </w:p>
        </w:tc>
        <w:tc>
          <w:tcPr>
            <w:tcW w:type="dxa" w:w="5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 (invitado)</w:t>
            </w:r>
          </w:p>
        </w:tc>
      </w:tr>
    </w:tbl>
    <w:p>
      <w:pPr>
        <w:spacing w:before="40" w:after="40"/>
      </w:pPr>
    </w:p>
    <w:p>
      <w:pPr>
        <w:spacing w:before="200" w:after="120"/>
      </w:pPr>
      <w:r>
        <w:rPr>
          <w:rFonts w:ascii="Arial" w:cs="Arial" w:eastAsia="Arial" w:hAnsi="Arial"/>
          <w:b/>
          <w:bCs/>
          <w:color w:val="2C3E50"/>
          <w:sz w:val="22"/>
          <w:szCs w:val="22"/>
        </w:rPr>
        <w:t xml:space="preserve">Nota sobre permisos</w:t>
      </w:r>
    </w:p>
    <w:p>
      <w:pPr>
        <w:spacing w:before="80" w:after="80"/>
      </w:pPr>
      <w:r>
        <w:rPr>
          <w:rFonts w:ascii="Arial" w:cs="Arial" w:eastAsia="Arial" w:hAnsi="Arial"/>
          <w:color w:val="2C3E50"/>
          <w:sz w:val="21"/>
          <w:szCs w:val="21"/>
        </w:rPr>
        <w:t xml:space="preserve">El acceso a GTM fue otorgado por invitación desde otra cuenta. Es necesario verificar que el correo pautaferiaeffix@gmail.com tenga permisos de Publicar (no solo lectura) para poder crear y activar las etiquetas de remarketing y conversiones.</w:t>
      </w:r>
    </w:p>
    <w:p>
      <w:pPr>
        <w:spacing w:before="40" w:after="40"/>
      </w:pPr>
    </w:p>
    <w:p>
      <w:pPr>
        <w:pStyle w:val="Heading1"/>
        <w:spacing w:before="360" w:after="200"/>
      </w:pPr>
      <w:r>
        <w:rPr>
          <w:rFonts w:ascii="Arial" w:cs="Arial" w:eastAsia="Arial" w:hAnsi="Arial"/>
          <w:b/>
          <w:bCs/>
          <w:color w:val="1A5276"/>
          <w:sz w:val="32"/>
          <w:szCs w:val="32"/>
        </w:rPr>
        <w:t xml:space="preserve">3. Estado general de la implementación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5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Cuenta de Google Ads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Completado</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ID: 356-853-8992</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Perfil de facturación</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Completado</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Organización — Effix S.A.S.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Crédito promocional registrado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Completado</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COP $3.77M al gastar $7.53M</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GA4 vinculado con Google Ads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Completado</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G-CRXZ50VX7D vinculado</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GTM verificado en el sitio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 Completado</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GTM-TLRMK246 activo</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Etiqueta de remarketing en GTM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Próximo paso prioritario</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Conversiones configuradas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Compra, clic comprar, vista boletas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Coordinación con LaTiquetera</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Tracking cross-domain</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Audiencias de remarketing</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Crear en Google Ads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Listas de clientes subidas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Asistentes 2024/2025, Effisystems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Landing page optimizada</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Velocidad, CTA, contenido</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Creativos producidos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Banners y videos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Estructura de campañas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Search, YouTube, Display, PMax</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Lanzamiento Fase 1</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Pendiente</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Según cronograma de estrategia</w:t>
            </w:r>
          </w:p>
        </w:tc>
      </w:tr>
    </w:tbl>
    <w:p>
      <w:pPr>
        <w:spacing w:before="40" w:after="40"/>
      </w:pPr>
    </w:p>
    <w:p>
      <w:pPr>
        <w:pStyle w:val="Heading1"/>
        <w:spacing w:before="360" w:after="200"/>
      </w:pPr>
      <w:r>
        <w:rPr>
          <w:rFonts w:ascii="Arial" w:cs="Arial" w:eastAsia="Arial" w:hAnsi="Arial"/>
          <w:b/>
          <w:bCs/>
          <w:color w:val="1A5276"/>
          <w:sz w:val="32"/>
          <w:szCs w:val="32"/>
        </w:rPr>
        <w:t xml:space="preserve">4. Registro detallado del proceso</w:t>
      </w:r>
    </w:p>
    <w:p>
      <w:pPr>
        <w:pStyle w:val="Heading2"/>
        <w:spacing w:before="280" w:after="160"/>
      </w:pPr>
      <w:r>
        <w:rPr>
          <w:rFonts w:ascii="Arial" w:cs="Arial" w:eastAsia="Arial" w:hAnsi="Arial"/>
          <w:b/>
          <w:bCs/>
          <w:color w:val="2E86C1"/>
          <w:sz w:val="26"/>
          <w:szCs w:val="26"/>
        </w:rPr>
        <w:t xml:space="preserve">4.1 Creación de cuenta de Google Ads</w:t>
      </w:r>
    </w:p>
    <w:p>
      <w:pPr>
        <w:pStyle w:val="ListParagraph"/>
        <w:numPr>
          <w:ilvl w:val="0"/>
          <w:numId w:val="3"/>
        </w:numPr>
        <w:spacing w:before="40" w:after="40"/>
      </w:pPr>
      <w:r>
        <w:rPr>
          <w:rFonts w:ascii="Arial" w:cs="Arial" w:eastAsia="Arial" w:hAnsi="Arial"/>
          <w:color w:val="2C3E50"/>
          <w:sz w:val="21"/>
          <w:szCs w:val="21"/>
        </w:rPr>
        <w:t xml:space="preserve">Se accedió a ads.google.com con la cuenta pautaferiaeffix@gmail.com</w:t>
      </w:r>
    </w:p>
    <w:p>
      <w:pPr>
        <w:pStyle w:val="ListParagraph"/>
        <w:numPr>
          <w:ilvl w:val="0"/>
          <w:numId w:val="3"/>
        </w:numPr>
        <w:spacing w:before="40" w:after="40"/>
      </w:pPr>
      <w:r>
        <w:rPr>
          <w:rFonts w:ascii="Arial" w:cs="Arial" w:eastAsia="Arial" w:hAnsi="Arial"/>
          <w:color w:val="2C3E50"/>
          <w:sz w:val="21"/>
          <w:szCs w:val="21"/>
        </w:rPr>
        <w:t xml:space="preserve">Se hizo clic en Comenzar ahora desde la página principal de Google Ads</w:t>
      </w:r>
    </w:p>
    <w:p>
      <w:pPr>
        <w:pStyle w:val="ListParagraph"/>
        <w:numPr>
          <w:ilvl w:val="0"/>
          <w:numId w:val="3"/>
        </w:numPr>
        <w:spacing w:before="40" w:after="40"/>
      </w:pPr>
      <w:r>
        <w:rPr>
          <w:rFonts w:ascii="Arial" w:cs="Arial" w:eastAsia="Arial" w:hAnsi="Arial"/>
          <w:color w:val="2C3E50"/>
          <w:sz w:val="21"/>
          <w:szCs w:val="21"/>
        </w:rPr>
        <w:t xml:space="preserve">Google no mostró la opción de Cambiar a modo experto en el flujo inicial de registro — se procedió con el wizard simplificado</w:t>
      </w:r>
    </w:p>
    <w:p>
      <w:pPr>
        <w:pStyle w:val="ListParagraph"/>
        <w:numPr>
          <w:ilvl w:val="0"/>
          <w:numId w:val="3"/>
        </w:numPr>
        <w:spacing w:before="40" w:after="40"/>
      </w:pPr>
      <w:r>
        <w:rPr>
          <w:rFonts w:ascii="Arial" w:cs="Arial" w:eastAsia="Arial" w:hAnsi="Arial"/>
          <w:color w:val="2C3E50"/>
          <w:sz w:val="21"/>
          <w:szCs w:val="21"/>
        </w:rPr>
        <w:t xml:space="preserve">Se ingresó feriaeffix.com como URL de la página de destino</w:t>
      </w:r>
    </w:p>
    <w:p>
      <w:pPr>
        <w:pStyle w:val="ListParagraph"/>
        <w:numPr>
          <w:ilvl w:val="0"/>
          <w:numId w:val="3"/>
        </w:numPr>
        <w:spacing w:before="40" w:after="40"/>
      </w:pPr>
      <w:r>
        <w:rPr>
          <w:rFonts w:ascii="Arial" w:cs="Arial" w:eastAsia="Arial" w:hAnsi="Arial"/>
          <w:color w:val="2C3E50"/>
          <w:sz w:val="21"/>
          <w:szCs w:val="21"/>
        </w:rPr>
        <w:t xml:space="preserve">Se completó la descripción del negocio con información de Feria Effix (evento de ecommerce, 49,000+ asistentes, 380+ stands)</w:t>
      </w:r>
    </w:p>
    <w:p>
      <w:pPr>
        <w:pStyle w:val="ListParagraph"/>
        <w:numPr>
          <w:ilvl w:val="0"/>
          <w:numId w:val="3"/>
        </w:numPr>
        <w:spacing w:before="40" w:after="40"/>
      </w:pPr>
      <w:r>
        <w:rPr>
          <w:rFonts w:ascii="Arial" w:cs="Arial" w:eastAsia="Arial" w:hAnsi="Arial"/>
          <w:color w:val="2C3E50"/>
          <w:sz w:val="21"/>
          <w:szCs w:val="21"/>
        </w:rPr>
        <w:t xml:space="preserve">Se seleccionaron categorías: Ferias de muestras y exposiciones, Acontecimientos y ferias de exposición, Venta e intercambio de entradas</w:t>
      </w:r>
    </w:p>
    <w:p>
      <w:pPr>
        <w:pStyle w:val="ListParagraph"/>
        <w:numPr>
          <w:ilvl w:val="0"/>
          <w:numId w:val="3"/>
        </w:numPr>
        <w:spacing w:before="40" w:after="40"/>
      </w:pPr>
      <w:r>
        <w:rPr>
          <w:rFonts w:ascii="Arial" w:cs="Arial" w:eastAsia="Arial" w:hAnsi="Arial"/>
          <w:color w:val="2C3E50"/>
          <w:sz w:val="21"/>
          <w:szCs w:val="21"/>
        </w:rPr>
        <w:t xml:space="preserve">En la pantalla de selección de objetivo, se encontró el enlace Configura una cuenta solamente en la parte inferior — se hizo clic ahí para evitar crear una campaña automática</w:t>
      </w:r>
    </w:p>
    <w:p>
      <w:pPr>
        <w:pStyle w:val="ListParagraph"/>
        <w:numPr>
          <w:ilvl w:val="0"/>
          <w:numId w:val="3"/>
        </w:numPr>
        <w:spacing w:before="40" w:after="40"/>
      </w:pPr>
      <w:r>
        <w:rPr>
          <w:rFonts w:ascii="Arial" w:cs="Arial" w:eastAsia="Arial" w:hAnsi="Arial"/>
          <w:color w:val="2C3E50"/>
          <w:sz w:val="21"/>
          <w:szCs w:val="21"/>
        </w:rPr>
        <w:t xml:space="preserve">Se completó el perfil de pagos como Organización con nombre legal Effix S.A.S.</w:t>
      </w:r>
    </w:p>
    <w:p>
      <w:pPr>
        <w:pStyle w:val="ListParagraph"/>
        <w:numPr>
          <w:ilvl w:val="0"/>
          <w:numId w:val="3"/>
        </w:numPr>
        <w:spacing w:before="40" w:after="40"/>
      </w:pPr>
      <w:r>
        <w:rPr>
          <w:rFonts w:ascii="Arial" w:cs="Arial" w:eastAsia="Arial" w:hAnsi="Arial"/>
          <w:color w:val="2C3E50"/>
          <w:sz w:val="21"/>
          <w:szCs w:val="21"/>
        </w:rPr>
        <w:t xml:space="preserve">La cuenta quedó creada sin campañas activas, en modo experto</w:t>
      </w:r>
    </w:p>
    <w:p>
      <w:pPr>
        <w:spacing w:before="40" w:after="40"/>
      </w:pPr>
    </w:p>
    <w:p>
      <w:pPr>
        <w:spacing w:before="200" w:after="120"/>
      </w:pPr>
      <w:r>
        <w:rPr>
          <w:rFonts w:ascii="Arial" w:cs="Arial" w:eastAsia="Arial" w:hAnsi="Arial"/>
          <w:b/>
          <w:bCs/>
          <w:color w:val="2C3E50"/>
          <w:sz w:val="22"/>
          <w:szCs w:val="22"/>
        </w:rPr>
        <w:t xml:space="preserve">Observación sobre el modo experto</w:t>
      </w:r>
    </w:p>
    <w:p>
      <w:pPr>
        <w:spacing w:before="80" w:after="80"/>
      </w:pPr>
      <w:r>
        <w:rPr>
          <w:rFonts w:ascii="Arial" w:cs="Arial" w:eastAsia="Arial" w:hAnsi="Arial"/>
          <w:color w:val="2C3E50"/>
          <w:sz w:val="21"/>
          <w:szCs w:val="21"/>
        </w:rPr>
        <w:t xml:space="preserve">El flujo de registro de Google Ads en 2026 no muestra directamente la opción de Cambiar a modo experto en la primera pantalla como lo hacía en versiones anteriores. La alternativa fue usar el enlace Configura una cuenta solamente que aparece en la pantalla de selección de objetivos. Una vez dentro de la cuenta, la interfaz mostró el dashboard completo de modo experto con todas las opciones avanzadas.</w:t>
      </w:r>
    </w:p>
    <w:p>
      <w:pPr>
        <w:spacing w:before="40" w:after="40"/>
      </w:pPr>
    </w:p>
    <w:p>
      <w:pPr>
        <w:pStyle w:val="Heading2"/>
        <w:spacing w:before="280" w:after="160"/>
      </w:pPr>
      <w:r>
        <w:rPr>
          <w:rFonts w:ascii="Arial" w:cs="Arial" w:eastAsia="Arial" w:hAnsi="Arial"/>
          <w:b/>
          <w:bCs/>
          <w:color w:val="2E86C1"/>
          <w:sz w:val="26"/>
          <w:szCs w:val="26"/>
        </w:rPr>
        <w:t xml:space="preserve">4.2 Configuración de Google Analytics 4</w:t>
      </w:r>
    </w:p>
    <w:p>
      <w:pPr>
        <w:pStyle w:val="ListParagraph"/>
        <w:numPr>
          <w:ilvl w:val="0"/>
          <w:numId w:val="3"/>
        </w:numPr>
        <w:spacing w:before="40" w:after="40"/>
      </w:pPr>
      <w:r>
        <w:rPr>
          <w:rFonts w:ascii="Arial" w:cs="Arial" w:eastAsia="Arial" w:hAnsi="Arial"/>
          <w:color w:val="2C3E50"/>
          <w:sz w:val="21"/>
          <w:szCs w:val="21"/>
        </w:rPr>
        <w:t xml:space="preserve">Se inició la creación de una propiedad nueva de GA4 con el nombre Feria Effix 2026</w:t>
      </w:r>
    </w:p>
    <w:p>
      <w:pPr>
        <w:pStyle w:val="ListParagraph"/>
        <w:numPr>
          <w:ilvl w:val="0"/>
          <w:numId w:val="3"/>
        </w:numPr>
        <w:spacing w:before="40" w:after="40"/>
      </w:pPr>
      <w:r>
        <w:rPr>
          <w:rFonts w:ascii="Arial" w:cs="Arial" w:eastAsia="Arial" w:hAnsi="Arial"/>
          <w:color w:val="2C3E50"/>
          <w:sz w:val="21"/>
          <w:szCs w:val="21"/>
        </w:rPr>
        <w:t xml:space="preserve">Se detectó que ya existía una propiedad de GA4 activa con datos históricos de feriaeffix.com bajo otra cuenta de Google</w:t>
      </w:r>
    </w:p>
    <w:p>
      <w:pPr>
        <w:pStyle w:val="ListParagraph"/>
        <w:numPr>
          <w:ilvl w:val="0"/>
          <w:numId w:val="3"/>
        </w:numPr>
        <w:spacing w:before="40" w:after="40"/>
      </w:pPr>
      <w:r>
        <w:rPr>
          <w:rFonts w:ascii="Arial" w:cs="Arial" w:eastAsia="Arial" w:hAnsi="Arial"/>
          <w:color w:val="2C3E50"/>
          <w:sz w:val="21"/>
          <w:szCs w:val="21"/>
        </w:rPr>
        <w:t xml:space="preserve">Se decidió utilizar la propiedad existente (G-CRXZ50VX7D) para aprovechar el historial de tráfico</w:t>
      </w:r>
    </w:p>
    <w:p>
      <w:pPr>
        <w:pStyle w:val="ListParagraph"/>
        <w:numPr>
          <w:ilvl w:val="0"/>
          <w:numId w:val="3"/>
        </w:numPr>
        <w:spacing w:before="40" w:after="40"/>
      </w:pPr>
      <w:r>
        <w:rPr>
          <w:rFonts w:ascii="Arial" w:cs="Arial" w:eastAsia="Arial" w:hAnsi="Arial"/>
          <w:color w:val="2C3E50"/>
          <w:sz w:val="21"/>
          <w:szCs w:val="21"/>
        </w:rPr>
        <w:t xml:space="preserve">Se agregó el correo pautaferiaeffix@gmail.com como usuario con permisos de administrador en la propiedad existente</w:t>
      </w:r>
    </w:p>
    <w:p>
      <w:pPr>
        <w:pStyle w:val="ListParagraph"/>
        <w:numPr>
          <w:ilvl w:val="0"/>
          <w:numId w:val="3"/>
        </w:numPr>
        <w:spacing w:before="40" w:after="40"/>
      </w:pPr>
      <w:r>
        <w:rPr>
          <w:rFonts w:ascii="Arial" w:cs="Arial" w:eastAsia="Arial" w:hAnsi="Arial"/>
          <w:color w:val="2C3E50"/>
          <w:sz w:val="21"/>
          <w:szCs w:val="21"/>
        </w:rPr>
        <w:t xml:space="preserve">Se verificó mediante Tag Assistant que el ID G-CRXZ50VX7D estaba activo en feriaeffix.com</w:t>
      </w:r>
    </w:p>
    <w:p>
      <w:pPr>
        <w:pStyle w:val="ListParagraph"/>
        <w:numPr>
          <w:ilvl w:val="0"/>
          <w:numId w:val="3"/>
        </w:numPr>
        <w:spacing w:before="40" w:after="40"/>
      </w:pPr>
      <w:r>
        <w:rPr>
          <w:rFonts w:ascii="Arial" w:cs="Arial" w:eastAsia="Arial" w:hAnsi="Arial"/>
          <w:color w:val="2C3E50"/>
          <w:sz w:val="21"/>
          <w:szCs w:val="21"/>
        </w:rPr>
        <w:t xml:space="preserve">Se vinculó la propiedad con la cuenta de Google Ads (356-853-8992) habilitando publicidad personalizada e importación automática de conversiones</w:t>
      </w:r>
    </w:p>
    <w:p>
      <w:pPr>
        <w:spacing w:before="40" w:after="40"/>
      </w:pPr>
    </w:p>
    <w:p>
      <w:pPr>
        <w:pStyle w:val="Heading2"/>
        <w:spacing w:before="280" w:after="160"/>
      </w:pPr>
      <w:r>
        <w:rPr>
          <w:rFonts w:ascii="Arial" w:cs="Arial" w:eastAsia="Arial" w:hAnsi="Arial"/>
          <w:b/>
          <w:bCs/>
          <w:color w:val="2E86C1"/>
          <w:sz w:val="26"/>
          <w:szCs w:val="26"/>
        </w:rPr>
        <w:t xml:space="preserve">4.3 Verificación de Google Tag Manager</w:t>
      </w:r>
    </w:p>
    <w:p>
      <w:pPr>
        <w:pStyle w:val="ListParagraph"/>
        <w:numPr>
          <w:ilvl w:val="0"/>
          <w:numId w:val="3"/>
        </w:numPr>
        <w:spacing w:before="40" w:after="40"/>
      </w:pPr>
      <w:r>
        <w:rPr>
          <w:rFonts w:ascii="Arial" w:cs="Arial" w:eastAsia="Arial" w:hAnsi="Arial"/>
          <w:color w:val="2C3E50"/>
          <w:sz w:val="21"/>
          <w:szCs w:val="21"/>
        </w:rPr>
        <w:t xml:space="preserve">Se verificó que GTM (GTM-TLRMK246) ya estaba instalado en feriaeffix.com usando Tag Assistant</w:t>
      </w:r>
    </w:p>
    <w:p>
      <w:pPr>
        <w:pStyle w:val="ListParagraph"/>
        <w:numPr>
          <w:ilvl w:val="0"/>
          <w:numId w:val="3"/>
        </w:numPr>
        <w:spacing w:before="40" w:after="40"/>
      </w:pPr>
      <w:r>
        <w:rPr>
          <w:rFonts w:ascii="Arial" w:cs="Arial" w:eastAsia="Arial" w:hAnsi="Arial"/>
          <w:color w:val="2C3E50"/>
          <w:sz w:val="21"/>
          <w:szCs w:val="21"/>
        </w:rPr>
        <w:t xml:space="preserve">Se confirmó acceso al contenedor desde pautaferiaeffix@gmail.com (cuenta invitada)</w:t>
      </w:r>
    </w:p>
    <w:p>
      <w:pPr>
        <w:pStyle w:val="ListParagraph"/>
        <w:numPr>
          <w:ilvl w:val="0"/>
          <w:numId w:val="3"/>
        </w:numPr>
        <w:spacing w:before="40" w:after="40"/>
      </w:pPr>
      <w:r>
        <w:rPr>
          <w:rFonts w:ascii="Arial" w:cs="Arial" w:eastAsia="Arial" w:hAnsi="Arial"/>
          <w:color w:val="2C3E50"/>
          <w:sz w:val="21"/>
          <w:szCs w:val="21"/>
        </w:rPr>
        <w:t xml:space="preserve">Pendiente: Verificar nivel de permisos (debe ser Publicar para crear etiquetas)</w:t>
      </w:r>
    </w:p>
    <w:p>
      <w:pPr>
        <w:spacing w:before="40" w:after="40"/>
      </w:pPr>
    </w:p>
    <w:p>
      <w:pPr>
        <w:pStyle w:val="Heading1"/>
        <w:spacing w:before="360" w:after="200"/>
      </w:pPr>
      <w:r>
        <w:rPr>
          <w:rFonts w:ascii="Arial" w:cs="Arial" w:eastAsia="Arial" w:hAnsi="Arial"/>
          <w:b/>
          <w:bCs/>
          <w:color w:val="1A5276"/>
          <w:sz w:val="32"/>
          <w:szCs w:val="32"/>
        </w:rPr>
        <w:t xml:space="preserve">5. Decisiones clave tomadas</w:t>
      </w:r>
    </w:p>
    <w:p>
      <w:pPr>
        <w:spacing w:before="40" w:after="40"/>
      </w:pPr>
    </w:p>
    <w:p>
      <w:pPr>
        <w:spacing w:before="200" w:after="120"/>
      </w:pPr>
      <w:r>
        <w:rPr>
          <w:rFonts w:ascii="Arial" w:cs="Arial" w:eastAsia="Arial" w:hAnsi="Arial"/>
          <w:b/>
          <w:bCs/>
          <w:color w:val="2C3E50"/>
          <w:sz w:val="22"/>
          <w:szCs w:val="22"/>
        </w:rPr>
        <w:t xml:space="preserve">Moneda de la cuenta: COP vs USD</w:t>
      </w:r>
    </w:p>
    <w:p>
      <w:pPr>
        <w:spacing w:before="80" w:after="80"/>
      </w:pPr>
      <w:r>
        <w:rPr>
          <w:rFonts w:ascii="Arial" w:cs="Arial" w:eastAsia="Arial" w:hAnsi="Arial"/>
          <w:b/>
          <w:bCs/>
          <w:color w:val="2C3E50"/>
          <w:sz w:val="21"/>
          <w:szCs w:val="21"/>
        </w:rPr>
        <w:t xml:space="preserve">Decisión: </w:t>
      </w:r>
      <w:r>
        <w:rPr>
          <w:rFonts w:ascii="Arial" w:cs="Arial" w:eastAsia="Arial" w:hAnsi="Arial"/>
          <w:color w:val="2C3E50"/>
          <w:sz w:val="21"/>
          <w:szCs w:val="21"/>
        </w:rPr>
        <w:t xml:space="preserve">Se mantuvo COP (pesos colombianos).</w:t>
      </w:r>
    </w:p>
    <w:p>
      <w:pPr>
        <w:spacing w:before="80" w:after="80"/>
      </w:pPr>
      <w:r>
        <w:rPr>
          <w:rFonts w:ascii="Arial" w:cs="Arial" w:eastAsia="Arial" w:hAnsi="Arial"/>
          <w:b/>
          <w:bCs/>
          <w:color w:val="2C3E50"/>
          <w:sz w:val="21"/>
          <w:szCs w:val="21"/>
        </w:rPr>
        <w:t xml:space="preserve">Razón: </w:t>
      </w:r>
      <w:r>
        <w:rPr>
          <w:rFonts w:ascii="Arial" w:cs="Arial" w:eastAsia="Arial" w:hAnsi="Arial"/>
          <w:color w:val="2C3E50"/>
          <w:sz w:val="21"/>
          <w:szCs w:val="21"/>
        </w:rPr>
        <w:t xml:space="preserve">La configuración del perfil de pagos no permitió seleccionar USD de manera clara durante el flujo de registro. Los presupuestos del documento de estrategia están en USD y se convertirán al configurar campañas.</w:t>
      </w:r>
    </w:p>
    <w:p>
      <w:pPr>
        <w:spacing w:before="80" w:after="80"/>
      </w:pPr>
      <w:r>
        <w:rPr>
          <w:rFonts w:ascii="Arial" w:cs="Arial" w:eastAsia="Arial" w:hAnsi="Arial"/>
          <w:b/>
          <w:bCs/>
          <w:color w:val="2C3E50"/>
          <w:sz w:val="21"/>
          <w:szCs w:val="21"/>
        </w:rPr>
        <w:t xml:space="preserve">Impacto: </w:t>
      </w:r>
      <w:r>
        <w:rPr>
          <w:rFonts w:ascii="Arial" w:cs="Arial" w:eastAsia="Arial" w:hAnsi="Arial"/>
          <w:color w:val="2C3E50"/>
          <w:sz w:val="21"/>
          <w:szCs w:val="21"/>
        </w:rPr>
        <w:t xml:space="preserve">Ninguno operativo. Solo requiere hacer la conversión USD a COP al definir presupuestos diarios.</w:t>
      </w:r>
    </w:p>
    <w:p>
      <w:pPr>
        <w:spacing w:before="40" w:after="40"/>
      </w:pPr>
    </w:p>
    <w:p>
      <w:pPr>
        <w:spacing w:before="200" w:after="120"/>
      </w:pPr>
      <w:r>
        <w:rPr>
          <w:rFonts w:ascii="Arial" w:cs="Arial" w:eastAsia="Arial" w:hAnsi="Arial"/>
          <w:b/>
          <w:bCs/>
          <w:color w:val="2C3E50"/>
          <w:sz w:val="22"/>
          <w:szCs w:val="22"/>
        </w:rPr>
        <w:t xml:space="preserve">GA4 existente vs nueva</w:t>
      </w:r>
    </w:p>
    <w:p>
      <w:pPr>
        <w:spacing w:before="80" w:after="80"/>
      </w:pPr>
      <w:r>
        <w:rPr>
          <w:rFonts w:ascii="Arial" w:cs="Arial" w:eastAsia="Arial" w:hAnsi="Arial"/>
          <w:b/>
          <w:bCs/>
          <w:color w:val="2C3E50"/>
          <w:sz w:val="21"/>
          <w:szCs w:val="21"/>
        </w:rPr>
        <w:t xml:space="preserve">Decisión: </w:t>
      </w:r>
      <w:r>
        <w:rPr>
          <w:rFonts w:ascii="Arial" w:cs="Arial" w:eastAsia="Arial" w:hAnsi="Arial"/>
          <w:color w:val="2C3E50"/>
          <w:sz w:val="21"/>
          <w:szCs w:val="21"/>
        </w:rPr>
        <w:t xml:space="preserve">Usar la propiedad existente con datos históricos.</w:t>
      </w:r>
    </w:p>
    <w:p>
      <w:pPr>
        <w:spacing w:before="80" w:after="80"/>
      </w:pPr>
      <w:r>
        <w:rPr>
          <w:rFonts w:ascii="Arial" w:cs="Arial" w:eastAsia="Arial" w:hAnsi="Arial"/>
          <w:b/>
          <w:bCs/>
          <w:color w:val="2C3E50"/>
          <w:sz w:val="21"/>
          <w:szCs w:val="21"/>
        </w:rPr>
        <w:t xml:space="preserve">Razón: </w:t>
      </w:r>
      <w:r>
        <w:rPr>
          <w:rFonts w:ascii="Arial" w:cs="Arial" w:eastAsia="Arial" w:hAnsi="Arial"/>
          <w:color w:val="2C3E50"/>
          <w:sz w:val="21"/>
          <w:szCs w:val="21"/>
        </w:rPr>
        <w:t xml:space="preserve">La propiedad existente ya tenía datos reales de tráfico (11K+ usuarios semanales, datos por país, canales de adquisición). Crear una nueva significaba perder todo ese historial y empezar desde cero.</w:t>
      </w:r>
    </w:p>
    <w:p>
      <w:pPr>
        <w:spacing w:before="80" w:after="80"/>
      </w:pPr>
      <w:r>
        <w:rPr>
          <w:rFonts w:ascii="Arial" w:cs="Arial" w:eastAsia="Arial" w:hAnsi="Arial"/>
          <w:b/>
          <w:bCs/>
          <w:color w:val="2C3E50"/>
          <w:sz w:val="21"/>
          <w:szCs w:val="21"/>
        </w:rPr>
        <w:t xml:space="preserve">Impacto: </w:t>
      </w:r>
      <w:r>
        <w:rPr>
          <w:rFonts w:ascii="Arial" w:cs="Arial" w:eastAsia="Arial" w:hAnsi="Arial"/>
          <w:color w:val="2C3E50"/>
          <w:sz w:val="21"/>
          <w:szCs w:val="21"/>
        </w:rPr>
        <w:t xml:space="preserve">Positivo. Google Ads puede usar estos datos históricos para crear audiencias de remarketing más robustas y optimizar campañas desde el inicio.</w:t>
      </w:r>
    </w:p>
    <w:p>
      <w:pPr>
        <w:spacing w:before="40" w:after="40"/>
      </w:pPr>
    </w:p>
    <w:p>
      <w:pPr>
        <w:spacing w:before="200" w:after="120"/>
      </w:pPr>
      <w:r>
        <w:rPr>
          <w:rFonts w:ascii="Arial" w:cs="Arial" w:eastAsia="Arial" w:hAnsi="Arial"/>
          <w:b/>
          <w:bCs/>
          <w:color w:val="2C3E50"/>
          <w:sz w:val="22"/>
          <w:szCs w:val="22"/>
        </w:rPr>
        <w:t xml:space="preserve">GTM existente vs nuevo</w:t>
      </w:r>
    </w:p>
    <w:p>
      <w:pPr>
        <w:spacing w:before="80" w:after="80"/>
      </w:pPr>
      <w:r>
        <w:rPr>
          <w:rFonts w:ascii="Arial" w:cs="Arial" w:eastAsia="Arial" w:hAnsi="Arial"/>
          <w:b/>
          <w:bCs/>
          <w:color w:val="2C3E50"/>
          <w:sz w:val="21"/>
          <w:szCs w:val="21"/>
        </w:rPr>
        <w:t xml:space="preserve">Decisión: </w:t>
      </w:r>
      <w:r>
        <w:rPr>
          <w:rFonts w:ascii="Arial" w:cs="Arial" w:eastAsia="Arial" w:hAnsi="Arial"/>
          <w:color w:val="2C3E50"/>
          <w:sz w:val="21"/>
          <w:szCs w:val="21"/>
        </w:rPr>
        <w:t xml:space="preserve">Usar el contenedor GTM existente ya instalado en el sitio.</w:t>
      </w:r>
    </w:p>
    <w:p>
      <w:pPr>
        <w:spacing w:before="80" w:after="80"/>
      </w:pPr>
      <w:r>
        <w:rPr>
          <w:rFonts w:ascii="Arial" w:cs="Arial" w:eastAsia="Arial" w:hAnsi="Arial"/>
          <w:b/>
          <w:bCs/>
          <w:color w:val="2C3E50"/>
          <w:sz w:val="21"/>
          <w:szCs w:val="21"/>
        </w:rPr>
        <w:t xml:space="preserve">Razón: </w:t>
      </w:r>
      <w:r>
        <w:rPr>
          <w:rFonts w:ascii="Arial" w:cs="Arial" w:eastAsia="Arial" w:hAnsi="Arial"/>
          <w:color w:val="2C3E50"/>
          <w:sz w:val="21"/>
          <w:szCs w:val="21"/>
        </w:rPr>
        <w:t xml:space="preserve">GTM ya estaba implementado en feriaeffix.com. Crear uno nuevo requeriría intervención del desarrollador web para cambiar los snippets de código.</w:t>
      </w:r>
    </w:p>
    <w:p>
      <w:pPr>
        <w:spacing w:before="80" w:after="80"/>
      </w:pPr>
      <w:r>
        <w:rPr>
          <w:rFonts w:ascii="Arial" w:cs="Arial" w:eastAsia="Arial" w:hAnsi="Arial"/>
          <w:b/>
          <w:bCs/>
          <w:color w:val="2C3E50"/>
          <w:sz w:val="21"/>
          <w:szCs w:val="21"/>
        </w:rPr>
        <w:t xml:space="preserve">Impacto: </w:t>
      </w:r>
      <w:r>
        <w:rPr>
          <w:rFonts w:ascii="Arial" w:cs="Arial" w:eastAsia="Arial" w:hAnsi="Arial"/>
          <w:color w:val="2C3E50"/>
          <w:sz w:val="21"/>
          <w:szCs w:val="21"/>
        </w:rPr>
        <w:t xml:space="preserve">Positivo. Evita trabajo técnico innecesario. Solo se necesitan agregar nuevas etiquetas dentro del contenedor existente.</w:t>
      </w:r>
    </w:p>
    <w:p>
      <w:pPr>
        <w:spacing w:before="40" w:after="40"/>
      </w:pPr>
    </w:p>
    <w:p>
      <w:pPr>
        <w:pStyle w:val="Heading1"/>
        <w:spacing w:before="360" w:after="200"/>
      </w:pPr>
      <w:r>
        <w:rPr>
          <w:rFonts w:ascii="Arial" w:cs="Arial" w:eastAsia="Arial" w:hAnsi="Arial"/>
          <w:b/>
          <w:bCs/>
          <w:color w:val="1A5276"/>
          <w:sz w:val="32"/>
          <w:szCs w:val="32"/>
        </w:rPr>
        <w:t xml:space="preserve">6. Próximos pasos</w:t>
      </w:r>
    </w:p>
    <w:p>
      <w:pPr>
        <w:spacing w:before="80" w:after="80"/>
      </w:pPr>
      <w:r>
        <w:rPr>
          <w:rFonts w:ascii="Arial" w:cs="Arial" w:eastAsia="Arial" w:hAnsi="Arial"/>
          <w:color w:val="2C3E50"/>
          <w:sz w:val="21"/>
          <w:szCs w:val="21"/>
        </w:rPr>
        <w:t xml:space="preserve">Los siguientes pasos están ordenados por prioridad y deben completarse antes de lanzar cualquier campaña:</w:t>
      </w:r>
    </w:p>
    <w:p>
      <w:pPr>
        <w:spacing w:before="40" w:after="40"/>
      </w:pPr>
    </w:p>
    <w:p>
      <w:pPr>
        <w:spacing w:before="200" w:after="120"/>
      </w:pPr>
      <w:r>
        <w:rPr>
          <w:rFonts w:ascii="Arial" w:cs="Arial" w:eastAsia="Arial" w:hAnsi="Arial"/>
          <w:b/>
          <w:bCs/>
          <w:color w:val="2C3E50"/>
          <w:sz w:val="22"/>
          <w:szCs w:val="22"/>
        </w:rPr>
        <w:t xml:space="preserve">Prioridad alta (completar esta semana)</w:t>
      </w:r>
    </w:p>
    <w:p>
      <w:pPr>
        <w:pStyle w:val="ListParagraph"/>
        <w:numPr>
          <w:ilvl w:val="0"/>
          <w:numId w:val="4"/>
        </w:numPr>
        <w:spacing w:before="40" w:after="40"/>
      </w:pPr>
      <w:r>
        <w:rPr>
          <w:rFonts w:ascii="Arial" w:cs="Arial" w:eastAsia="Arial" w:hAnsi="Arial"/>
          <w:b/>
          <w:bCs/>
          <w:color w:val="2C3E50"/>
          <w:sz w:val="21"/>
          <w:szCs w:val="21"/>
        </w:rPr>
        <w:t xml:space="preserve">Configurar etiqueta de remarketing de Google Ads en GTM </w:t>
      </w:r>
      <w:r>
        <w:rPr>
          <w:rFonts w:ascii="Arial" w:cs="Arial" w:eastAsia="Arial" w:hAnsi="Arial"/>
          <w:color w:val="2C3E50"/>
          <w:sz w:val="21"/>
          <w:szCs w:val="21"/>
        </w:rPr>
        <w:t xml:space="preserve">— Crear la etiqueta de remarketing con el ID de conversión de la cuenta 356-853-8992 y activarla en todas las páginas. Esto comienza a construir audiencias desde el día 1.</w:t>
      </w:r>
    </w:p>
    <w:p>
      <w:pPr>
        <w:pStyle w:val="ListParagraph"/>
        <w:numPr>
          <w:ilvl w:val="0"/>
          <w:numId w:val="4"/>
        </w:numPr>
        <w:spacing w:before="40" w:after="40"/>
      </w:pPr>
      <w:r>
        <w:rPr>
          <w:rFonts w:ascii="Arial" w:cs="Arial" w:eastAsia="Arial" w:hAnsi="Arial"/>
          <w:b/>
          <w:bCs/>
          <w:color w:val="2C3E50"/>
          <w:sz w:val="21"/>
          <w:szCs w:val="21"/>
        </w:rPr>
        <w:t xml:space="preserve">Configurar conversiones en Google Ads </w:t>
      </w:r>
      <w:r>
        <w:rPr>
          <w:rFonts w:ascii="Arial" w:cs="Arial" w:eastAsia="Arial" w:hAnsi="Arial"/>
          <w:color w:val="2C3E50"/>
          <w:sz w:val="21"/>
          <w:szCs w:val="21"/>
        </w:rPr>
        <w:t xml:space="preserve">— Conversión principal: Compra completada (con valor dinámico). Micro-conversiones: Clic en Comprar, Inicio de checkout, Vista de página de boletas &gt;30s, Registro WhatsApp/Newsletter.</w:t>
      </w:r>
    </w:p>
    <w:p>
      <w:pPr>
        <w:pStyle w:val="ListParagraph"/>
        <w:numPr>
          <w:ilvl w:val="0"/>
          <w:numId w:val="4"/>
        </w:numPr>
        <w:spacing w:before="40" w:after="40"/>
      </w:pPr>
      <w:r>
        <w:rPr>
          <w:rFonts w:ascii="Arial" w:cs="Arial" w:eastAsia="Arial" w:hAnsi="Arial"/>
          <w:b/>
          <w:bCs/>
          <w:color w:val="2C3E50"/>
          <w:sz w:val="21"/>
          <w:szCs w:val="21"/>
        </w:rPr>
        <w:t xml:space="preserve">Coordinar tracking con LaTiquetera </w:t>
      </w:r>
      <w:r>
        <w:rPr>
          <w:rFonts w:ascii="Arial" w:cs="Arial" w:eastAsia="Arial" w:hAnsi="Arial"/>
          <w:color w:val="2C3E50"/>
          <w:sz w:val="21"/>
          <w:szCs w:val="21"/>
        </w:rPr>
        <w:t xml:space="preserve">— La compra final ocurre en el dominio de LaTiquetera (latiquetera.com). Contactar al equipo técnico para implementar el pixel de conversión en la página de confirmación de compra, o configurar cross-domain tracking en GA4.</w:t>
      </w:r>
    </w:p>
    <w:p>
      <w:pPr>
        <w:spacing w:before="40" w:after="40"/>
      </w:pPr>
    </w:p>
    <w:p>
      <w:pPr>
        <w:spacing w:before="200" w:after="120"/>
      </w:pPr>
      <w:r>
        <w:rPr>
          <w:rFonts w:ascii="Arial" w:cs="Arial" w:eastAsia="Arial" w:hAnsi="Arial"/>
          <w:b/>
          <w:bCs/>
          <w:color w:val="2C3E50"/>
          <w:sz w:val="22"/>
          <w:szCs w:val="22"/>
        </w:rPr>
        <w:t xml:space="preserve">Prioridad media (completar en semanas 2-3)</w:t>
      </w:r>
    </w:p>
    <w:p>
      <w:pPr>
        <w:pStyle w:val="ListParagraph"/>
        <w:numPr>
          <w:ilvl w:val="0"/>
          <w:numId w:val="2"/>
        </w:numPr>
        <w:spacing w:before="40" w:after="40"/>
      </w:pPr>
      <w:r>
        <w:rPr>
          <w:rFonts w:ascii="Arial" w:cs="Arial" w:eastAsia="Arial" w:hAnsi="Arial"/>
          <w:color w:val="2C3E50"/>
          <w:sz w:val="21"/>
          <w:szCs w:val="21"/>
        </w:rPr>
        <w:t xml:space="preserve">Verificar permisos de publicación en GTM para pautaferiaeffix@gmail.com</w:t>
      </w:r>
    </w:p>
    <w:p>
      <w:pPr>
        <w:pStyle w:val="ListParagraph"/>
        <w:numPr>
          <w:ilvl w:val="0"/>
          <w:numId w:val="2"/>
        </w:numPr>
        <w:spacing w:before="40" w:after="40"/>
      </w:pPr>
      <w:r>
        <w:rPr>
          <w:rFonts w:ascii="Arial" w:cs="Arial" w:eastAsia="Arial" w:hAnsi="Arial"/>
          <w:color w:val="2C3E50"/>
          <w:sz w:val="21"/>
          <w:szCs w:val="21"/>
        </w:rPr>
        <w:t xml:space="preserve">Crear audiencias de remarketing en Google Ads (visitantes del sitio, visitantes de página de boletas, abandonadores de checkout)</w:t>
      </w:r>
    </w:p>
    <w:p>
      <w:pPr>
        <w:pStyle w:val="ListParagraph"/>
        <w:numPr>
          <w:ilvl w:val="0"/>
          <w:numId w:val="2"/>
        </w:numPr>
        <w:spacing w:before="40" w:after="40"/>
      </w:pPr>
      <w:r>
        <w:rPr>
          <w:rFonts w:ascii="Arial" w:cs="Arial" w:eastAsia="Arial" w:hAnsi="Arial"/>
          <w:color w:val="2C3E50"/>
          <w:sz w:val="21"/>
          <w:szCs w:val="21"/>
        </w:rPr>
        <w:t xml:space="preserve">Subir listas de clientes existentes (asistentes Effix 2024/2025, usuarios Effisystems, suscriptores Effiwoman)</w:t>
      </w:r>
    </w:p>
    <w:p>
      <w:pPr>
        <w:pStyle w:val="ListParagraph"/>
        <w:numPr>
          <w:ilvl w:val="0"/>
          <w:numId w:val="2"/>
        </w:numPr>
        <w:spacing w:before="40" w:after="40"/>
      </w:pPr>
      <w:r>
        <w:rPr>
          <w:rFonts w:ascii="Arial" w:cs="Arial" w:eastAsia="Arial" w:hAnsi="Arial"/>
          <w:color w:val="2C3E50"/>
          <w:sz w:val="21"/>
          <w:szCs w:val="21"/>
        </w:rPr>
        <w:t xml:space="preserve">Optimizar landing page de feriaeffix.com (velocidad &lt;3s, Core Web Vitals, CTAs claros)</w:t>
      </w:r>
    </w:p>
    <w:p>
      <w:pPr>
        <w:spacing w:before="40" w:after="40"/>
      </w:pPr>
    </w:p>
    <w:p>
      <w:pPr>
        <w:spacing w:before="200" w:after="120"/>
      </w:pPr>
      <w:r>
        <w:rPr>
          <w:rFonts w:ascii="Arial" w:cs="Arial" w:eastAsia="Arial" w:hAnsi="Arial"/>
          <w:b/>
          <w:bCs/>
          <w:color w:val="2C3E50"/>
          <w:sz w:val="22"/>
          <w:szCs w:val="22"/>
        </w:rPr>
        <w:t xml:space="preserve">Prioridad estándar (completar en semanas 3-4)</w:t>
      </w:r>
    </w:p>
    <w:p>
      <w:pPr>
        <w:pStyle w:val="ListParagraph"/>
        <w:numPr>
          <w:ilvl w:val="0"/>
          <w:numId w:val="2"/>
        </w:numPr>
        <w:spacing w:before="40" w:after="40"/>
      </w:pPr>
      <w:r>
        <w:rPr>
          <w:rFonts w:ascii="Arial" w:cs="Arial" w:eastAsia="Arial" w:hAnsi="Arial"/>
          <w:color w:val="2C3E50"/>
          <w:sz w:val="21"/>
          <w:szCs w:val="21"/>
        </w:rPr>
        <w:t xml:space="preserve">Producir creativos: banners en todos los tamaños requeridos (300x250, 728x90, 160x600, 320x50, 300x600, 336x280)</w:t>
      </w:r>
    </w:p>
    <w:p>
      <w:pPr>
        <w:pStyle w:val="ListParagraph"/>
        <w:numPr>
          <w:ilvl w:val="0"/>
          <w:numId w:val="2"/>
        </w:numPr>
        <w:spacing w:before="40" w:after="40"/>
      </w:pPr>
      <w:r>
        <w:rPr>
          <w:rFonts w:ascii="Arial" w:cs="Arial" w:eastAsia="Arial" w:hAnsi="Arial"/>
          <w:color w:val="2C3E50"/>
          <w:sz w:val="21"/>
          <w:szCs w:val="21"/>
        </w:rPr>
        <w:t xml:space="preserve">Producir videos: bumper ads (6s), in-stream (15-30s), video largo (60-90s)</w:t>
      </w:r>
    </w:p>
    <w:p>
      <w:pPr>
        <w:pStyle w:val="ListParagraph"/>
        <w:numPr>
          <w:ilvl w:val="0"/>
          <w:numId w:val="2"/>
        </w:numPr>
        <w:spacing w:before="40" w:after="40"/>
      </w:pPr>
      <w:r>
        <w:rPr>
          <w:rFonts w:ascii="Arial" w:cs="Arial" w:eastAsia="Arial" w:hAnsi="Arial"/>
          <w:color w:val="2C3E50"/>
          <w:sz w:val="21"/>
          <w:szCs w:val="21"/>
        </w:rPr>
        <w:t xml:space="preserve">Crear estructura de campañas según documento de estrategia (Search marca, Search categoría, YouTube awareness, Display remarketing)</w:t>
      </w:r>
    </w:p>
    <w:p>
      <w:pPr>
        <w:pStyle w:val="ListParagraph"/>
        <w:numPr>
          <w:ilvl w:val="0"/>
          <w:numId w:val="2"/>
        </w:numPr>
        <w:spacing w:before="40" w:after="40"/>
      </w:pPr>
      <w:r>
        <w:rPr>
          <w:rFonts w:ascii="Arial" w:cs="Arial" w:eastAsia="Arial" w:hAnsi="Arial"/>
          <w:color w:val="2C3E50"/>
          <w:sz w:val="21"/>
          <w:szCs w:val="21"/>
        </w:rPr>
        <w:t xml:space="preserve">Hacer testing completo de todo el tracking antes de lanzar</w:t>
      </w:r>
    </w:p>
    <w:p>
      <w:pPr>
        <w:pStyle w:val="ListParagraph"/>
        <w:numPr>
          <w:ilvl w:val="0"/>
          <w:numId w:val="2"/>
        </w:numPr>
        <w:spacing w:before="40" w:after="40"/>
      </w:pPr>
      <w:r>
        <w:rPr>
          <w:rFonts w:ascii="Arial" w:cs="Arial" w:eastAsia="Arial" w:hAnsi="Arial"/>
          <w:color w:val="2C3E50"/>
          <w:sz w:val="21"/>
          <w:szCs w:val="21"/>
        </w:rPr>
        <w:t xml:space="preserve">Lanzar Fase 1 de campañas</w:t>
      </w:r>
    </w:p>
    <w:p>
      <w:pPr>
        <w:spacing w:before="40" w:after="40"/>
      </w:pPr>
    </w:p>
    <w:p>
      <w:pPr>
        <w:pStyle w:val="Heading1"/>
        <w:spacing w:before="360" w:after="200"/>
      </w:pPr>
      <w:r>
        <w:rPr>
          <w:rFonts w:ascii="Arial" w:cs="Arial" w:eastAsia="Arial" w:hAnsi="Arial"/>
          <w:b/>
          <w:bCs/>
          <w:color w:val="1A5276"/>
          <w:sz w:val="32"/>
          <w:szCs w:val="32"/>
        </w:rPr>
        <w:t xml:space="preserve">7. Directorio de credenciales y accesos</w:t>
      </w:r>
    </w:p>
    <w:p>
      <w:pPr>
        <w:spacing w:before="80" w:after="80"/>
      </w:pPr>
      <w:r>
        <w:rPr>
          <w:rFonts w:ascii="Arial" w:cs="Arial" w:eastAsia="Arial" w:hAnsi="Arial"/>
          <w:color w:val="2C3E50"/>
          <w:sz w:val="21"/>
          <w:szCs w:val="21"/>
        </w:rPr>
        <w:t xml:space="preserve">Resumen de todos los IDs y accesos para referencia rápida: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Plataforma</w:t>
            </w:r>
          </w:p>
        </w:tc>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 Identificador</w:t>
            </w:r>
          </w:p>
        </w:tc>
        <w:tc>
          <w:tcPr>
            <w:tcW w:type="dxa" w:w="3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Google Ads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356-853-8992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GA4 (activa)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G-CRXZ50VX7D</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GA4 Flujo de datos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13248640925</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GA4 (nueva, sin usar)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G-6DQBGWG7RS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GTM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GTM-TLRMK246</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 (invitado)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Google Tag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GT-P8QZK4S6</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Correo de pauta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pautaferiaeffix@gmail.com</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w:t>
            </w:r>
          </w:p>
        </w:tc>
      </w:tr>
    </w:tbl>
    <w:p>
      <w:pPr>
        <w:spacing w:before="40" w:after="40"/>
      </w:pPr>
    </w:p>
    <w:p>
      <w:pPr>
        <w:pStyle w:val="Heading1"/>
        <w:spacing w:before="360" w:after="200"/>
      </w:pPr>
      <w:r>
        <w:rPr>
          <w:rFonts w:ascii="Arial" w:cs="Arial" w:eastAsia="Arial" w:hAnsi="Arial"/>
          <w:b/>
          <w:bCs/>
          <w:color w:val="1A5276"/>
          <w:sz w:val="32"/>
          <w:szCs w:val="32"/>
        </w:rPr>
        <w:t xml:space="preserve">8. Documentos relacionados</w:t>
      </w:r>
    </w:p>
    <w:p>
      <w:pPr>
        <w:pStyle w:val="ListParagraph"/>
        <w:numPr>
          <w:ilvl w:val="0"/>
          <w:numId w:val="2"/>
        </w:numPr>
        <w:spacing w:before="40" w:after="40"/>
      </w:pPr>
      <w:r>
        <w:rPr>
          <w:rFonts w:ascii="Arial" w:cs="Arial" w:eastAsia="Arial" w:hAnsi="Arial"/>
          <w:color w:val="2C3E50"/>
          <w:sz w:val="21"/>
          <w:szCs w:val="21"/>
        </w:rPr>
        <w:t xml:space="preserve">Estrategia de Google Ads Feria Effix 2026 — Plan estratégico de adquisición de tráfico con fases, presupuestos y KPIs</w:t>
      </w:r>
    </w:p>
    <w:p>
      <w:pPr>
        <w:pStyle w:val="ListParagraph"/>
        <w:numPr>
          <w:ilvl w:val="0"/>
          <w:numId w:val="2"/>
        </w:numPr>
        <w:spacing w:before="40" w:after="40"/>
      </w:pPr>
      <w:r>
        <w:rPr>
          <w:rFonts w:ascii="Arial" w:cs="Arial" w:eastAsia="Arial" w:hAnsi="Arial"/>
          <w:color w:val="2C3E50"/>
          <w:sz w:val="21"/>
          <w:szCs w:val="21"/>
        </w:rPr>
        <w:t xml:space="preserve">Guía de Implementación Técnica y Estratégica Google Ads — Documento paso a paso con tracking, campañas, creativos y optimización</w:t>
      </w:r>
    </w:p>
    <w:p>
      <w:pPr>
        <w:pStyle w:val="ListParagraph"/>
        <w:numPr>
          <w:ilvl w:val="0"/>
          <w:numId w:val="2"/>
        </w:numPr>
        <w:spacing w:before="40" w:after="40"/>
      </w:pPr>
      <w:r>
        <w:rPr>
          <w:rFonts w:ascii="Arial" w:cs="Arial" w:eastAsia="Arial" w:hAnsi="Arial"/>
          <w:color w:val="2C3E50"/>
          <w:sz w:val="21"/>
          <w:szCs w:val="21"/>
        </w:rPr>
        <w:t xml:space="preserve">Especificaciones Landing Page Black Ticket — Diseño y copy para página de conversión directa</w:t>
      </w:r>
    </w:p>
    <w:p>
      <w:pPr>
        <w:pStyle w:val="ListParagraph"/>
        <w:numPr>
          <w:ilvl w:val="0"/>
          <w:numId w:val="2"/>
        </w:numPr>
        <w:spacing w:before="40" w:after="40"/>
      </w:pPr>
      <w:r>
        <w:rPr>
          <w:rFonts w:ascii="Arial" w:cs="Arial" w:eastAsia="Arial" w:hAnsi="Arial"/>
          <w:color w:val="2C3E50"/>
          <w:sz w:val="21"/>
          <w:szCs w:val="21"/>
        </w:rPr>
        <w:t xml:space="preserve">Especificaciones Landing Page VSL Black Ticket — Diseño y copy para página con Video Sales Letter</w:t>
      </w:r>
    </w:p>
    <w:p>
      <w:pPr>
        <w:spacing w:before="40" w:after="40"/>
      </w:pPr>
    </w:p>
    <w:p>
      <w:pPr>
        <w:spacing w:before="40" w:after="40"/>
      </w:pPr>
    </w:p>
    <w:p>
      <w:pPr>
        <w:pBdr>
          <w:top w:val="single" w:color="D5D8DC" w:sz="1" w:space="8"/>
        </w:pBdr>
        <w:spacing w:before="200"/>
      </w:pPr>
      <w:r>
        <w:rPr>
          <w:rFonts w:ascii="Arial" w:cs="Arial" w:eastAsia="Arial" w:hAnsi="Arial"/>
          <w:i/>
          <w:iCs/>
          <w:color w:val="7F8C8D"/>
          <w:sz w:val="18"/>
          <w:szCs w:val="18"/>
        </w:rPr>
        <w:t xml:space="preserve">Documento generado el 10 de marzo de 2026 como registro interno del proceso de configuración.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Página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Bitácora Google Ads — Feria Effix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2026-03-10T21:07:16.365Z</dcterms:created>
  <dcterms:modified xsi:type="dcterms:W3CDTF">2026-03-10T21:07:16.365Z</dcterms:modified>
</cp:coreProperties>
</file>

<file path=docProps/custom.xml><?xml version="1.0" encoding="utf-8"?>
<Properties xmlns="http://schemas.openxmlformats.org/officeDocument/2006/custom-properties" xmlns:vt="http://schemas.openxmlformats.org/officeDocument/2006/docPropsVTypes"/>
</file>