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sz w:val="28"/>
          <w:szCs w:val="28"/>
        </w:rPr>
        <w:t xml:space="preserve">A Compact Thermo-Optic Fault Detection Framework
for Silicon Microring Resonators</w:t>
      </w:r>
    </w:p>
    <w:p>
      <w:pPr>
        <w:spacing w:after="240" w:before="60"/>
        <w:jc w:val="center"/>
      </w:pPr>
      <w:r>
        <w:rPr>
          <w:b/>
          <w:bCs/>
        </w:rPr>
        <w:t xml:space="preserve">Dimitar Kretski</w:t>
      </w:r>
      <w:r>
        <w:t xml:space="preserve">
Center for Hydro- and Aerodynamics (CHA), Varna, Bulgaria</w:t>
      </w:r>
      <w:r>
        <w:t xml:space="preserve">
ORCID: 0000-0001-5108-2243</w:t>
      </w:r>
    </w:p>
    <w:p>
      <w:pPr>
        <w:pStyle w:val="Heading2"/>
        <w:spacing w:after="80" w:before="200"/>
      </w:pPr>
      <w:r>
        <w:t xml:space="preserve">Abstract</w:t>
      </w:r>
    </w:p>
    <w:p>
      <w:pPr>
        <w:spacing w:after="60" w:before="60"/>
        <w:jc w:val="both"/>
      </w:pPr>
      <w:r>
        <w:t xml:space="preserve">We present a compact thermo-optic fault detection framework for silicon microring resonators comprising a physics-based first-order thermal model, a realistic colored-noise simulation (Gaussian + 1/f + random-walk drift), and a Monte Carlo evaluation methodology that compares detectors through full Delay–False Alarm Rate (FAR) operating frontiers rather than isolated operating points. Three structurally distinct detection strategies are evaluated: fixed threshold, CUSUM, and the W-formula safety layer W(t) = Q(t)·D(t) − T(t). Under N = 200 Monte Carlo trials per configuration, CUSUM consistently improves upon the fixed-threshold detector. Within the evaluated operating range, the W-formula detector achieves shorter detection delays at the cost of higher FAR, occupying a distinct region of the Delay–FAR space. A robustness sweep across six noise configurations shows that the relative ranking of the detectors did not change across the investigated conditions. No claim of optimality is made; several established methods — including BOCPD, Shiryaev–Roberts, and recursive GLR — were not evaluated. All results are simulation-based; experimental validation is identified as the essential next step.</w:t>
      </w:r>
    </w:p>
    <w:p>
      <w:pPr>
        <w:pStyle w:val="Heading2"/>
        <w:spacing w:after="80" w:before="200"/>
      </w:pPr>
      <w:r>
        <w:t xml:space="preserve">I. Introduction</w:t>
      </w:r>
    </w:p>
    <w:p>
      <w:pPr>
        <w:spacing w:after="60" w:before="60"/>
        <w:jc w:val="both"/>
      </w:pPr>
      <w:r>
        <w:t xml:space="preserve">Silicon photonic microring resonators are core components of optical transceivers, sensing systems, and wavelength-division multiplexed (WDM) links. Their resonance wavelength shifts at approximately 70–80 pm/°C due to the thermo-optic effect, making them sensitive to thermal disturbances and susceptible to failure of thermal management components such as thermo-electric coolers (TEC).</w:t>
      </w:r>
    </w:p>
    <w:p>
      <w:pPr>
        <w:spacing w:after="60" w:before="60"/>
        <w:jc w:val="both"/>
      </w:pPr>
      <w:r>
        <w:t xml:space="preserve">Early detection of thermal faults directly limits the consequences of degradation: a faster alarm reduces thermal overshoot, shortens recovery time, and prevents resonance excursion beyond the tracking range of an active controller. The detection delay is therefore a first-order quality metric — yet it must be balanced against the false alarm rate (FAR), because spurious alarms disrupt system operation.</w:t>
      </w:r>
    </w:p>
    <w:p>
      <w:pPr>
        <w:spacing w:after="60" w:before="60"/>
        <w:jc w:val="both"/>
      </w:pPr>
      <w:r>
        <w:t xml:space="preserve">Prior comparative studies typically evaluate detectors at a single operating point, making it difficult to distinguish between a fundamentally superior detector and one that is simply better-tuned. We address this by sweeping each detector's decision threshold to obtain a full operating frontier in Delay–FAR space, following a methodology adapted from sequential detection theory [5].</w:t>
      </w:r>
    </w:p>
    <w:p>
      <w:pPr>
        <w:spacing w:after="60" w:before="60"/>
        <w:jc w:val="both"/>
      </w:pPr>
      <w:r>
        <w:t xml:space="preserve">This paper contributes: (1) a parameterised compact thermo-optic model with explicit provenance annotations; (2) a realistic colored-noise simulation; (3) operating frontier evaluation of three structurally distinct detectors; and (4) adaptation of the deterministic W-formula safety layer [2] — originally a domain-independent health metric — to thermo-optic monitoring, with analysis of its Delay–FAR trade-off and robustness across noise conditions.</w:t>
      </w:r>
    </w:p>
    <w:p>
      <w:pPr>
        <w:pStyle w:val="Heading2"/>
        <w:spacing w:after="80" w:before="200"/>
      </w:pPr>
      <w:r>
        <w:t xml:space="preserve">II. Thermo-Optic Compact Model</w:t>
      </w:r>
    </w:p>
    <w:p>
      <w:pPr>
        <w:spacing w:after="60" w:before="60"/>
        <w:jc w:val="both"/>
      </w:pPr>
      <w:r>
        <w:t xml:space="preserve">The resonance wavelength shift is modelled as Δλ = k(T)·(T − T</w:t>
      </w:r>
      <w:r>
        <w:rPr>
          <w:vertAlign w:val="subscript"/>
        </w:rPr>
        <w:t xml:space="preserve">amb</w:t>
      </w:r>
      <w:r>
        <w:t xml:space="preserve">), with k(T) = k₀ + (dk/dT)·(T − T</w:t>
      </w:r>
      <w:r>
        <w:rPr>
          <w:vertAlign w:val="subscript"/>
        </w:rPr>
        <w:t xml:space="preserve">ref</w:t>
      </w:r>
      <w:r>
        <w:t xml:space="preserve">). Thermal dynamics follow a first-order RC model:</w:t>
      </w:r>
    </w:p>
    <w:p>
      <w:pPr>
        <w:spacing w:after="80" w:before="80"/>
        <w:jc w:val="center"/>
      </w:pPr>
      <w:r>
        <w:rPr>
          <w:i/>
          <w:iCs/>
        </w:rPr>
        <w:t xml:space="preserve">C</w:t>
      </w:r>
      <w:r>
        <w:t xml:space="preserve">th</w:t>
      </w:r>
      <w:r>
        <w:t xml:space="preserve"> · dT/dt = P</w:t>
      </w:r>
      <w:r>
        <w:rPr>
          <w:vertAlign w:val="subscript"/>
        </w:rPr>
        <w:t xml:space="preserve">diss</w:t>
      </w:r>
      <w:r>
        <w:t xml:space="preserve"> − (T − T</w:t>
      </w:r>
      <w:r>
        <w:rPr>
          <w:vertAlign w:val="subscript"/>
        </w:rPr>
        <w:t xml:space="preserve">amb</w:t>
      </w:r>
      <w:r>
        <w:t xml:space="preserve">) / R</w:t>
      </w:r>
      <w:r>
        <w:rPr>
          <w:vertAlign w:val="subscript"/>
        </w:rPr>
        <w:t xml:space="preserve">th</w:t>
      </w:r>
    </w:p>
    <w:p>
      <w:pPr>
        <w:spacing w:after="60" w:before="60"/>
        <w:jc w:val="both"/>
      </w:pPr>
      <w:r>
        <w:t xml:space="preserve">R_th and C_th are derived from the heater efficiency and thermal time constant. The heater response supports arbitrary polynomial order. A calibration function accepts measured (power, wavelength-shift) pairs and returns R², RMSE, degrees of freedom, and per-parameter standard errors.</w:t>
      </w:r>
    </w:p>
    <w:p>
      <w:pPr>
        <w:spacing w:after="30" w:before="30"/>
      </w:pPr>
    </w:p>
    <w:p>
      <w:pPr>
        <w:spacing w:after="40" w:before="60"/>
      </w:pPr>
      <w:r>
        <w:rPr>
          <w:b/>
          <w:bCs/>
        </w:rPr>
        <w:t xml:space="preserve">Table I. </w:t>
      </w:r>
      <w:r>
        <w:t xml:space="preserve">Model parameters and provenance.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300"/>
        <w:gridCol w:w="4160"/>
      </w:tblGrid>
      <w:tr>
        <w:trPr>
          <w:tblHeader/>
        </w:trPr>
        <w:tc>
          <w:tcPr>
            <w:tcW w:type="dxa" w:w="2200"/>
            <w:shd w:fill="D9D9D9" w:color="D9D9D9" w:val="clear"/>
          </w:tcPr>
          <w:p>
            <w:pPr>
              <w:spacing w:after="36" w:before="36"/>
              <w:jc w:val="center"/>
            </w:pPr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1700"/>
            <w:shd w:fill="D9D9D9" w:color="D9D9D9" w:val="clear"/>
          </w:tcPr>
          <w:p>
            <w:pPr>
              <w:spacing w:after="36" w:before="36"/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1300"/>
            <w:shd w:fill="D9D9D9" w:color="D9D9D9" w:val="clear"/>
          </w:tcPr>
          <w:p>
            <w:pPr>
              <w:spacing w:after="36" w:before="36"/>
              <w:jc w:val="center"/>
            </w:pPr>
            <w:r>
              <w:rPr>
                <w:b/>
                <w:bCs/>
              </w:rPr>
              <w:t xml:space="preserve">Unit</w:t>
            </w:r>
          </w:p>
        </w:tc>
        <w:tc>
          <w:tcPr>
            <w:tcW w:type="dxa" w:w="4160"/>
            <w:shd w:fill="D9D9D9" w:color="D9D9D9" w:val="clear"/>
          </w:tcPr>
          <w:p>
            <w:pPr>
              <w:spacing w:after="36" w:before="36"/>
              <w:jc w:val="center"/>
            </w:pPr>
            <w:r>
              <w:rPr>
                <w:b/>
                <w:bCs/>
              </w:rPr>
              <w:t xml:space="preserve">Provenance</w:t>
            </w:r>
          </w:p>
        </w:tc>
      </w:tr>
      <w:tr>
        <w:tc>
          <w:tcPr>
            <w:tcW w:type="dxa" w:w="2200"/>
          </w:tcPr>
          <w:p>
            <w:pPr>
              <w:spacing w:after="26" w:before="26"/>
              <w:jc w:val="center"/>
            </w:pPr>
            <w:r>
              <w:t xml:space="preserve">k₀</w:t>
            </w:r>
          </w:p>
        </w:tc>
        <w:tc>
          <w:tcPr>
            <w:tcW w:type="dxa" w:w="1700"/>
          </w:tcPr>
          <w:p>
            <w:pPr>
              <w:spacing w:after="26" w:before="26"/>
              <w:jc w:val="center"/>
            </w:pPr>
            <w:r>
              <w:t xml:space="preserve">72.9</w:t>
            </w:r>
          </w:p>
        </w:tc>
        <w:tc>
          <w:tcPr>
            <w:tcW w:type="dxa" w:w="1300"/>
          </w:tcPr>
          <w:p>
            <w:pPr>
              <w:spacing w:after="26" w:before="26"/>
              <w:jc w:val="center"/>
            </w:pPr>
            <w:r>
              <w:t xml:space="preserve">pm/°C</w:t>
            </w:r>
          </w:p>
        </w:tc>
        <w:tc>
          <w:tcPr>
            <w:tcW w:type="dxa" w:w="4160"/>
          </w:tcPr>
          <w:p>
            <w:pPr>
              <w:spacing w:after="26" w:before="26"/>
              <w:jc w:val="center"/>
            </w:pPr>
            <w:r>
              <w:t xml:space="preserve">Literature [3]</w:t>
            </w:r>
          </w:p>
        </w:tc>
      </w:tr>
      <w:tr>
        <w:tc>
          <w:tcPr>
            <w:tcW w:type="dxa" w:w="2200"/>
          </w:tcPr>
          <w:p>
            <w:pPr>
              <w:spacing w:after="26" w:before="26"/>
              <w:jc w:val="center"/>
            </w:pPr>
            <w:r>
              <w:t xml:space="preserve">dk/dT</w:t>
            </w:r>
          </w:p>
        </w:tc>
        <w:tc>
          <w:tcPr>
            <w:tcW w:type="dxa" w:w="1700"/>
          </w:tcPr>
          <w:p>
            <w:pPr>
              <w:spacing w:after="26" w:before="26"/>
              <w:jc w:val="center"/>
            </w:pPr>
            <w:r>
              <w:t xml:space="preserve">0.0</w:t>
            </w:r>
          </w:p>
        </w:tc>
        <w:tc>
          <w:tcPr>
            <w:tcW w:type="dxa" w:w="1300"/>
          </w:tcPr>
          <w:p>
            <w:pPr>
              <w:spacing w:after="26" w:before="26"/>
              <w:jc w:val="center"/>
            </w:pPr>
            <w:r>
              <w:t xml:space="preserve">pm/°C²</w:t>
            </w:r>
          </w:p>
        </w:tc>
        <w:tc>
          <w:tcPr>
            <w:tcW w:type="dxa" w:w="4160"/>
          </w:tcPr>
          <w:p>
            <w:pPr>
              <w:spacing w:after="26" w:before="26"/>
              <w:jc w:val="center"/>
            </w:pPr>
            <w:r>
              <w:t xml:space="preserve">Estimated (no lit. value found)</w:t>
            </w:r>
          </w:p>
        </w:tc>
      </w:tr>
      <w:tr>
        <w:tc>
          <w:tcPr>
            <w:tcW w:type="dxa" w:w="2200"/>
          </w:tcPr>
          <w:p>
            <w:pPr>
              <w:spacing w:after="26" w:before="26"/>
              <w:jc w:val="center"/>
            </w:pPr>
            <w:r>
              <w:t xml:space="preserve">Heater eff.</w:t>
            </w:r>
          </w:p>
        </w:tc>
        <w:tc>
          <w:tcPr>
            <w:tcW w:type="dxa" w:w="1700"/>
          </w:tcPr>
          <w:p>
            <w:pPr>
              <w:spacing w:after="26" w:before="26"/>
              <w:jc w:val="center"/>
            </w:pPr>
            <w:r>
              <w:t xml:space="preserve">100.0</w:t>
            </w:r>
          </w:p>
        </w:tc>
        <w:tc>
          <w:tcPr>
            <w:tcW w:type="dxa" w:w="1300"/>
          </w:tcPr>
          <w:p>
            <w:pPr>
              <w:spacing w:after="26" w:before="26"/>
              <w:jc w:val="center"/>
            </w:pPr>
            <w:r>
              <w:t xml:space="preserve">pm/mW</w:t>
            </w:r>
          </w:p>
        </w:tc>
        <w:tc>
          <w:tcPr>
            <w:tcW w:type="dxa" w:w="4160"/>
          </w:tcPr>
          <w:p>
            <w:pPr>
              <w:spacing w:after="26" w:before="26"/>
              <w:jc w:val="center"/>
            </w:pPr>
            <w:r>
              <w:t xml:space="preserve">Literature range [3]</w:t>
            </w:r>
          </w:p>
        </w:tc>
      </w:tr>
      <w:tr>
        <w:tc>
          <w:tcPr>
            <w:tcW w:type="dxa" w:w="2200"/>
          </w:tcPr>
          <w:p>
            <w:pPr>
              <w:spacing w:after="26" w:before="26"/>
              <w:jc w:val="center"/>
            </w:pPr>
            <w:r>
              <w:t xml:space="preserve">τ_th</w:t>
            </w:r>
          </w:p>
        </w:tc>
        <w:tc>
          <w:tcPr>
            <w:tcW w:type="dxa" w:w="1700"/>
          </w:tcPr>
          <w:p>
            <w:pPr>
              <w:spacing w:after="26" w:before="26"/>
              <w:jc w:val="center"/>
            </w:pPr>
            <w:r>
              <w:t xml:space="preserve">7 × 10⁻⁶</w:t>
            </w:r>
          </w:p>
        </w:tc>
        <w:tc>
          <w:tcPr>
            <w:tcW w:type="dxa" w:w="1300"/>
          </w:tcPr>
          <w:p>
            <w:pPr>
              <w:spacing w:after="26" w:before="26"/>
              <w:jc w:val="center"/>
            </w:pPr>
            <w:r>
              <w:t xml:space="preserve">s</w:t>
            </w:r>
          </w:p>
        </w:tc>
        <w:tc>
          <w:tcPr>
            <w:tcW w:type="dxa" w:w="4160"/>
          </w:tcPr>
          <w:p>
            <w:pPr>
              <w:spacing w:after="26" w:before="26"/>
              <w:jc w:val="center"/>
            </w:pPr>
            <w:r>
              <w:t xml:space="preserve">Literature [4]</w:t>
            </w:r>
          </w:p>
        </w:tc>
      </w:tr>
      <w:tr>
        <w:tc>
          <w:tcPr>
            <w:tcW w:type="dxa" w:w="2200"/>
          </w:tcPr>
          <w:p>
            <w:pPr>
              <w:spacing w:after="26" w:before="26"/>
              <w:jc w:val="center"/>
            </w:pPr>
            <w:r>
              <w:t xml:space="preserve">σ_Gaussian</w:t>
            </w:r>
          </w:p>
        </w:tc>
        <w:tc>
          <w:tcPr>
            <w:tcW w:type="dxa" w:w="1700"/>
          </w:tcPr>
          <w:p>
            <w:pPr>
              <w:spacing w:after="26" w:before="26"/>
              <w:jc w:val="center"/>
            </w:pPr>
            <w:r>
              <w:t xml:space="preserve">2.0</w:t>
            </w:r>
          </w:p>
        </w:tc>
        <w:tc>
          <w:tcPr>
            <w:tcW w:type="dxa" w:w="1300"/>
          </w:tcPr>
          <w:p>
            <w:pPr>
              <w:spacing w:after="26" w:before="26"/>
              <w:jc w:val="center"/>
            </w:pPr>
            <w:r>
              <w:t xml:space="preserve">pm</w:t>
            </w:r>
          </w:p>
        </w:tc>
        <w:tc>
          <w:tcPr>
            <w:tcW w:type="dxa" w:w="4160"/>
          </w:tcPr>
          <w:p>
            <w:pPr>
              <w:spacing w:after="26" w:before="26"/>
              <w:jc w:val="center"/>
            </w:pPr>
            <w:r>
              <w:t xml:space="preserve">Estimated</w:t>
            </w:r>
          </w:p>
        </w:tc>
      </w:tr>
      <w:tr>
        <w:tc>
          <w:tcPr>
            <w:tcW w:type="dxa" w:w="2200"/>
          </w:tcPr>
          <w:p>
            <w:pPr>
              <w:spacing w:after="26" w:before="26"/>
              <w:jc w:val="center"/>
            </w:pPr>
            <w:r>
              <w:t xml:space="preserve">σ_pink</w:t>
            </w:r>
          </w:p>
        </w:tc>
        <w:tc>
          <w:tcPr>
            <w:tcW w:type="dxa" w:w="1700"/>
          </w:tcPr>
          <w:p>
            <w:pPr>
              <w:spacing w:after="26" w:before="26"/>
              <w:jc w:val="center"/>
            </w:pPr>
            <w:r>
              <w:t xml:space="preserve">1.0</w:t>
            </w:r>
          </w:p>
        </w:tc>
        <w:tc>
          <w:tcPr>
            <w:tcW w:type="dxa" w:w="1300"/>
          </w:tcPr>
          <w:p>
            <w:pPr>
              <w:spacing w:after="26" w:before="26"/>
              <w:jc w:val="center"/>
            </w:pPr>
            <w:r>
              <w:t xml:space="preserve">pm</w:t>
            </w:r>
          </w:p>
        </w:tc>
        <w:tc>
          <w:tcPr>
            <w:tcW w:type="dxa" w:w="4160"/>
          </w:tcPr>
          <w:p>
            <w:pPr>
              <w:spacing w:after="26" w:before="26"/>
              <w:jc w:val="center"/>
            </w:pPr>
            <w:r>
              <w:t xml:space="preserve">Estimated</w:t>
            </w:r>
          </w:p>
        </w:tc>
      </w:tr>
      <w:tr>
        <w:tc>
          <w:tcPr>
            <w:tcW w:type="dxa" w:w="2200"/>
          </w:tcPr>
          <w:p>
            <w:pPr>
              <w:spacing w:after="26" w:before="26"/>
              <w:jc w:val="center"/>
            </w:pPr>
            <w:r>
              <w:t xml:space="preserve">σ_drift</w:t>
            </w:r>
          </w:p>
        </w:tc>
        <w:tc>
          <w:tcPr>
            <w:tcW w:type="dxa" w:w="1700"/>
          </w:tcPr>
          <w:p>
            <w:pPr>
              <w:spacing w:after="26" w:before="26"/>
              <w:jc w:val="center"/>
            </w:pPr>
            <w:r>
              <w:t xml:space="preserve">0.5</w:t>
            </w:r>
          </w:p>
        </w:tc>
        <w:tc>
          <w:tcPr>
            <w:tcW w:type="dxa" w:w="1300"/>
          </w:tcPr>
          <w:p>
            <w:pPr>
              <w:spacing w:after="26" w:before="26"/>
              <w:jc w:val="center"/>
            </w:pPr>
            <w:r>
              <w:t xml:space="preserve">pm/√s</w:t>
            </w:r>
          </w:p>
        </w:tc>
        <w:tc>
          <w:tcPr>
            <w:tcW w:type="dxa" w:w="4160"/>
          </w:tcPr>
          <w:p>
            <w:pPr>
              <w:spacing w:after="26" w:before="26"/>
              <w:jc w:val="center"/>
            </w:pPr>
            <w:r>
              <w:t xml:space="preserve">Estimated</w:t>
            </w:r>
          </w:p>
        </w:tc>
      </w:tr>
    </w:tbl>
    <w:p>
      <w:pPr>
        <w:pStyle w:val="Heading2"/>
        <w:spacing w:after="80" w:before="200"/>
      </w:pPr>
      <w:r>
        <w:t xml:space="preserve">III. Noise Model and Simulation</w:t>
      </w:r>
    </w:p>
    <w:p>
      <w:pPr>
        <w:spacing w:after="60" w:before="60"/>
        <w:jc w:val="both"/>
      </w:pPr>
      <w:r>
        <w:t xml:space="preserve">Each trial simulates a total time of 2.5 × fault_onset at 70 ns resolution (τ_th / 100). A fault is introduced as a ramp in thermal resistance over 20 µs followed by a sustained step, parameterised by a multiplier on R_th. The baseline noise model superimposes: (i) white Gaussian noise (σ = 2 pm), (ii) 1/f pink noise via the Voss–McCartney algorithm (amplitude 1 pm), and (iii) a random-walk drift (0.5 pm/√s). The drift term is the principal driver of false alarms for fixed-threshold detectors.</w:t>
      </w:r>
    </w:p>
    <w:p>
      <w:pPr>
        <w:pStyle w:val="Heading2"/>
        <w:spacing w:after="80" w:before="200"/>
      </w:pPr>
      <w:r>
        <w:t xml:space="preserve">IV. Detector Formulations</w:t>
      </w:r>
    </w:p>
    <w:p>
      <w:pPr>
        <w:pStyle w:val="Heading3"/>
        <w:spacing w:after="80" w:before="200"/>
      </w:pPr>
      <w:r>
        <w:t xml:space="preserve">A. Fixed Threshold</w:t>
      </w:r>
    </w:p>
    <w:p>
      <w:pPr>
        <w:spacing w:after="60" w:before="60"/>
        <w:jc w:val="both"/>
      </w:pPr>
      <w:r>
        <w:t xml:space="preserve">Alarm when r(t) = T_implied(t) − T_model(t) exceeds µ_pre + m·σ_pre. Multiplier m swept over {3, 4, 5, 6, 7, 8, 10}.</w:t>
      </w:r>
    </w:p>
    <w:p>
      <w:pPr>
        <w:pStyle w:val="Heading3"/>
        <w:spacing w:after="80" w:before="200"/>
      </w:pPr>
      <w:r>
        <w:t xml:space="preserve">B. CUSUM</w:t>
      </w:r>
    </w:p>
    <w:p>
      <w:pPr>
        <w:spacing w:after="60" w:before="60"/>
        <w:jc w:val="both"/>
      </w:pPr>
      <w:r>
        <w:t xml:space="preserve">S_i = max(0, S_{i−1} + (r_i − µ_pre) − k), alarm when S_i &gt; h. Fixed k_σ = 2.0; h_σ swept over {2, 3, 4, 5, 6, 7, 8, 10, 15}. CUSUM is asymptotically optimal under i.i.d. Gaussian residuals (Lorden 1971 [1]).</w:t>
      </w:r>
    </w:p>
    <w:p>
      <w:pPr>
        <w:pStyle w:val="Heading3"/>
        <w:spacing w:after="80" w:before="200"/>
      </w:pPr>
      <w:r>
        <w:t xml:space="preserve">C. W-Formula Safety Layer</w:t>
      </w:r>
    </w:p>
    <w:p>
      <w:pPr>
        <w:spacing w:after="60" w:before="60"/>
        <w:jc w:val="both"/>
      </w:pPr>
      <w:r>
        <w:t xml:space="preserve">The W-formula W = Q·D − T was originally proposed in [2] as a domain-independent adaptive health metric. The two detectors belong to different mathematical classes: CUSUM linearly accumulates signed deviations of r(t); W(t) is a nonlinear function of drive power, model fidelity, and cumulative thermal stress. They are not algebraic reformulations of one another. The domain-specific variable redefinitions for thermo-optic monitoring are:</w:t>
      </w:r>
    </w:p>
    <w:p>
      <w:pPr>
        <w:spacing w:after="60" w:before="60"/>
        <w:ind w:left="720"/>
        <w:jc w:val="both"/>
      </w:pPr>
      <w:r>
        <w:rPr>
          <w:i/>
          <w:iCs/>
        </w:rPr>
        <w:t xml:space="preserve">Q</w:t>
      </w:r>
      <w:r>
        <w:t xml:space="preserve">(t) = P_diss(t)/mean(P_diss)</w:t>
      </w:r>
      <w:r>
        <w:t xml:space="preserve">  [normalised drive power]</w:t>
      </w:r>
    </w:p>
    <w:p>
      <w:pPr>
        <w:spacing w:after="60" w:before="60"/>
        <w:ind w:left="720"/>
        <w:jc w:val="both"/>
      </w:pPr>
      <w:r>
        <w:rPr>
          <w:i/>
          <w:iCs/>
        </w:rPr>
        <w:t xml:space="preserve">D</w:t>
      </w:r>
      <w:r>
        <w:t xml:space="preserve">(t) = exp(−|r(t)|/σ_pre)</w:t>
      </w:r>
      <w:r>
        <w:t xml:space="preserve">    [model fidelity, ∈ (0,1]]</w:t>
      </w:r>
    </w:p>
    <w:p>
      <w:pPr>
        <w:spacing w:after="60" w:before="60"/>
        <w:ind w:left="720"/>
        <w:jc w:val="both"/>
      </w:pPr>
      <w:r>
        <w:rPr>
          <w:i/>
          <w:iCs/>
        </w:rPr>
        <w:t xml:space="preserve">T</w:t>
      </w:r>
      <w:r>
        <w:t xml:space="preserve">(t) = ∫|r|dt/(σ_pre·T_window)</w:t>
      </w:r>
      <w:r>
        <w:t xml:space="preserve">  [cumulative thermal stress]</w:t>
      </w:r>
    </w:p>
    <w:p>
      <w:pPr>
        <w:spacing w:after="60" w:before="60"/>
        <w:jc w:val="both"/>
      </w:pPr>
      <w:r>
        <w:t xml:space="preserve">Alarm when W(t) &lt; w_thresh, where w_thresh is set at the p-th percentile of the pre-fault W trace computed on each trial independently — making the threshold adaptive to the noise level of that trial. Percentile p swept over {0.01%, 0.05%, 0.1%, 0.25%, 0.5%, 1%, 2%, 5%, 10%}. The minimum achievable FAR (~3.5 × 10</w:t>
      </w:r>
      <w:r>
        <w:rPr>
          <w:vertAlign w:val="superscript"/>
        </w:rPr>
        <w:t xml:space="preserve">−4</w:t>
      </w:r>
      <w:r>
        <w:t xml:space="preserve">) reflects the noise correlation structure under this calibration strategy.</w:t>
      </w:r>
    </w:p>
    <w:p>
      <w:pPr>
        <w:pStyle w:val="Heading2"/>
        <w:spacing w:after="80" w:before="200"/>
      </w:pPr>
      <w:r>
        <w:t xml:space="preserve">V. Results</w:t>
      </w:r>
    </w:p>
    <w:p>
      <w:pPr>
        <w:pStyle w:val="Heading3"/>
        <w:spacing w:after="80" w:before="200"/>
      </w:pPr>
      <w:r>
        <w:t xml:space="preserve">A. Operating Frontiers (fault ×2.2)</w:t>
      </w:r>
    </w:p>
    <w:p>
      <w:pPr>
        <w:spacing w:after="60" w:before="60"/>
        <w:jc w:val="both"/>
      </w:pPr>
      <w:r>
        <w:t xml:space="preserve">Fig. 1 shows the Delay–FAR operating frontier for all three detectors (N = 200 trials per threshold, 95% bootstrap CI on delay, shaded bands).</w:t>
      </w:r>
    </w:p>
    <w:p>
      <w:pPr>
        <w:spacing w:after="40" w:before="100"/>
        <w:jc w:val="center"/>
      </w:pPr>
      <w:r>
        <w:drawing>
          <wp:inline distT="0" distB="0" distL="0" distR="0">
            <wp:extent cx="5143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b/>
          <w:bCs/>
        </w:rPr>
        <w:t xml:space="preserve">Fig. 1. </w:t>
      </w:r>
      <w:r>
        <w:t xml:space="preserve">Delay–FAR operating frontiers. Fault ×2.2, N=200 trials per point. Lower-left is better.</w:t>
      </w:r>
    </w:p>
    <w:p>
      <w:pPr>
        <w:spacing w:after="40" w:before="60"/>
      </w:pPr>
      <w:r>
        <w:rPr>
          <w:b/>
          <w:bCs/>
        </w:rPr>
        <w:t xml:space="preserve">Table II. </w:t>
      </w:r>
      <w:r>
        <w:t xml:space="preserve">Summary of operating frontier results (fault ×2.2).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100"/>
        <w:gridCol w:w="3760"/>
      </w:tblGrid>
      <w:tr>
        <w:trPr>
          <w:tblHeader/>
        </w:trPr>
        <w:tc>
          <w:tcPr>
            <w:tcW w:type="dxa" w:w="2000"/>
            <w:shd w:fill="D9D9D9" w:color="D9D9D9" w:val="clear"/>
          </w:tcPr>
          <w:p>
            <w:pPr>
              <w:spacing w:after="36" w:before="36"/>
              <w:jc w:val="center"/>
            </w:pPr>
            <w:r>
              <w:rPr>
                <w:b/>
                <w:bCs/>
              </w:rPr>
              <w:t xml:space="preserve">Detector</w:t>
            </w:r>
          </w:p>
        </w:tc>
        <w:tc>
          <w:tcPr>
            <w:tcW w:type="dxa" w:w="1500"/>
            <w:shd w:fill="D9D9D9" w:color="D9D9D9" w:val="clear"/>
          </w:tcPr>
          <w:p>
            <w:pPr>
              <w:spacing w:after="36" w:before="36"/>
              <w:jc w:val="center"/>
            </w:pPr>
            <w:r>
              <w:rPr>
                <w:b/>
                <w:bCs/>
              </w:rPr>
              <w:t xml:space="preserve">Best delay</w:t>
            </w:r>
          </w:p>
        </w:tc>
        <w:tc>
          <w:tcPr>
            <w:tcW w:type="dxa" w:w="2100"/>
            <w:shd w:fill="D9D9D9" w:color="D9D9D9" w:val="clear"/>
          </w:tcPr>
          <w:p>
            <w:pPr>
              <w:spacing w:after="36" w:before="36"/>
              <w:jc w:val="center"/>
            </w:pPr>
            <w:r>
              <w:rPr>
                <w:b/>
                <w:bCs/>
              </w:rPr>
              <w:t xml:space="preserve">Lowest FAR</w:t>
            </w:r>
          </w:p>
        </w:tc>
        <w:tc>
          <w:tcPr>
            <w:tcW w:type="dxa" w:w="3760"/>
            <w:shd w:fill="D9D9D9" w:color="D9D9D9" w:val="clear"/>
          </w:tcPr>
          <w:p>
            <w:pPr>
              <w:spacing w:after="36" w:before="36"/>
              <w:jc w:val="center"/>
            </w:pPr>
            <w:r>
              <w:rPr>
                <w:b/>
                <w:bCs/>
              </w:rPr>
              <w:t xml:space="preserve">Note</w:t>
            </w:r>
          </w:p>
        </w:tc>
      </w:tr>
      <w:tr>
        <w:tc>
          <w:tcPr>
            <w:tcW w:type="dxa" w:w="2000"/>
          </w:tcPr>
          <w:p>
            <w:pPr>
              <w:spacing w:after="26" w:before="26"/>
              <w:jc w:val="center"/>
            </w:pPr>
            <w:r>
              <w:t xml:space="preserve">Fixed µ+3σ</w:t>
            </w:r>
          </w:p>
        </w:tc>
        <w:tc>
          <w:tcPr>
            <w:tcW w:type="dxa" w:w="1500"/>
          </w:tcPr>
          <w:p>
            <w:pPr>
              <w:spacing w:after="26" w:before="26"/>
              <w:jc w:val="center"/>
            </w:pPr>
            <w:r>
              <w:t xml:space="preserve">1.63 µs</w:t>
            </w:r>
          </w:p>
        </w:tc>
        <w:tc>
          <w:tcPr>
            <w:tcW w:type="dxa" w:w="2100"/>
          </w:tcPr>
          <w:p>
            <w:pPr>
              <w:spacing w:after="26" w:before="26"/>
              <w:jc w:val="center"/>
            </w:pPr>
            <w:r>
              <w:t xml:space="preserve">1.3 × 10⁻³</w:t>
            </w:r>
          </w:p>
        </w:tc>
        <w:tc>
          <w:tcPr>
            <w:tcW w:type="dxa" w:w="3760"/>
          </w:tcPr>
          <w:p>
            <w:pPr>
              <w:spacing w:after="26" w:before="26"/>
              <w:jc w:val="center"/>
            </w:pPr>
            <w:r>
              <w:t xml:space="preserve">Fastest; highest FAR</w:t>
            </w:r>
          </w:p>
        </w:tc>
      </w:tr>
      <w:tr>
        <w:tc>
          <w:tcPr>
            <w:tcW w:type="dxa" w:w="2000"/>
          </w:tcPr>
          <w:p>
            <w:pPr>
              <w:spacing w:after="26" w:before="26"/>
              <w:jc w:val="center"/>
            </w:pPr>
            <w:r>
              <w:t xml:space="preserve">Fixed µ+5σ</w:t>
            </w:r>
          </w:p>
        </w:tc>
        <w:tc>
          <w:tcPr>
            <w:tcW w:type="dxa" w:w="1500"/>
          </w:tcPr>
          <w:p>
            <w:pPr>
              <w:spacing w:after="26" w:before="26"/>
              <w:jc w:val="center"/>
            </w:pPr>
            <w:r>
              <w:t xml:space="preserve">2.37 µs</w:t>
            </w:r>
          </w:p>
        </w:tc>
        <w:tc>
          <w:tcPr>
            <w:tcW w:type="dxa" w:w="2100"/>
          </w:tcPr>
          <w:p>
            <w:pPr>
              <w:spacing w:after="26" w:before="26"/>
              <w:jc w:val="center"/>
            </w:pPr>
            <w:r>
              <w:t xml:space="preserve">0 (&lt; 1.8 × 10⁻³)</w:t>
            </w:r>
          </w:p>
        </w:tc>
        <w:tc>
          <w:tcPr>
            <w:tcW w:type="dxa" w:w="3760"/>
          </w:tcPr>
          <w:p>
            <w:pPr>
              <w:spacing w:after="26" w:before="26"/>
              <w:jc w:val="center"/>
            </w:pPr>
            <w:r>
              <w:t xml:space="preserve">Canonical zero-FAR point</w:t>
            </w:r>
          </w:p>
        </w:tc>
      </w:tr>
      <w:tr>
        <w:tc>
          <w:tcPr>
            <w:tcW w:type="dxa" w:w="2000"/>
          </w:tcPr>
          <w:p>
            <w:pPr>
              <w:spacing w:after="26" w:before="26"/>
              <w:jc w:val="center"/>
            </w:pPr>
            <w:r>
              <w:t xml:space="preserve">CUSUM h=2</w:t>
            </w:r>
          </w:p>
        </w:tc>
        <w:tc>
          <w:tcPr>
            <w:tcW w:type="dxa" w:w="1500"/>
          </w:tcPr>
          <w:p>
            <w:pPr>
              <w:spacing w:after="26" w:before="26"/>
              <w:jc w:val="center"/>
            </w:pPr>
            <w:r>
              <w:t xml:space="preserve">1.79 µs</w:t>
            </w:r>
          </w:p>
        </w:tc>
        <w:tc>
          <w:tcPr>
            <w:tcW w:type="dxa" w:w="2100"/>
          </w:tcPr>
          <w:p>
            <w:pPr>
              <w:spacing w:after="26" w:before="26"/>
              <w:jc w:val="center"/>
            </w:pPr>
            <w:r>
              <w:t xml:space="preserve">9.6 × 10⁻⁵</w:t>
            </w:r>
          </w:p>
        </w:tc>
        <w:tc>
          <w:tcPr>
            <w:tcW w:type="dxa" w:w="3760"/>
          </w:tcPr>
          <w:p>
            <w:pPr>
              <w:spacing w:after="26" w:before="26"/>
              <w:jc w:val="center"/>
            </w:pPr>
            <w:r>
              <w:t xml:space="preserve">Fastest CUSUM</w:t>
            </w:r>
          </w:p>
        </w:tc>
      </w:tr>
      <w:tr>
        <w:tc>
          <w:tcPr>
            <w:tcW w:type="dxa" w:w="2000"/>
          </w:tcPr>
          <w:p>
            <w:pPr>
              <w:spacing w:after="26" w:before="26"/>
              <w:jc w:val="center"/>
            </w:pPr>
            <w:r>
              <w:t xml:space="preserve">CUSUM h=6</w:t>
            </w:r>
          </w:p>
        </w:tc>
        <w:tc>
          <w:tcPr>
            <w:tcW w:type="dxa" w:w="1500"/>
          </w:tcPr>
          <w:p>
            <w:pPr>
              <w:spacing w:after="26" w:before="26"/>
              <w:jc w:val="center"/>
            </w:pPr>
            <w:r>
              <w:t xml:space="preserve">2.09 µs</w:t>
            </w:r>
          </w:p>
        </w:tc>
        <w:tc>
          <w:tcPr>
            <w:tcW w:type="dxa" w:w="2100"/>
          </w:tcPr>
          <w:p>
            <w:pPr>
              <w:spacing w:after="26" w:before="26"/>
              <w:jc w:val="center"/>
            </w:pPr>
            <w:r>
              <w:t xml:space="preserve">0 (&lt; 1.8 × 10⁻³)</w:t>
            </w:r>
          </w:p>
        </w:tc>
        <w:tc>
          <w:tcPr>
            <w:tcW w:type="dxa" w:w="3760"/>
          </w:tcPr>
          <w:p>
            <w:pPr>
              <w:spacing w:after="26" w:before="26"/>
              <w:jc w:val="center"/>
            </w:pPr>
            <w:r>
              <w:t xml:space="preserve">Canonical zero-FAR point</w:t>
            </w:r>
          </w:p>
        </w:tc>
      </w:tr>
      <w:tr>
        <w:tc>
          <w:tcPr>
            <w:tcW w:type="dxa" w:w="2000"/>
          </w:tcPr>
          <w:p>
            <w:pPr>
              <w:spacing w:after="26" w:before="26"/>
              <w:jc w:val="center"/>
            </w:pPr>
            <w:r>
              <w:t xml:space="preserve">W-form. 10%ile</w:t>
            </w:r>
          </w:p>
        </w:tc>
        <w:tc>
          <w:tcPr>
            <w:tcW w:type="dxa" w:w="1500"/>
          </w:tcPr>
          <w:p>
            <w:pPr>
              <w:spacing w:after="26" w:before="26"/>
              <w:jc w:val="center"/>
            </w:pPr>
            <w:r>
              <w:t xml:space="preserve">0.20 µs</w:t>
            </w:r>
          </w:p>
        </w:tc>
        <w:tc>
          <w:tcPr>
            <w:tcW w:type="dxa" w:w="2100"/>
          </w:tcPr>
          <w:p>
            <w:pPr>
              <w:spacing w:after="26" w:before="26"/>
              <w:jc w:val="center"/>
            </w:pPr>
            <w:r>
              <w:t xml:space="preserve">0.10</w:t>
            </w:r>
          </w:p>
        </w:tc>
        <w:tc>
          <w:tcPr>
            <w:tcW w:type="dxa" w:w="3760"/>
          </w:tcPr>
          <w:p>
            <w:pPr>
              <w:spacing w:after="26" w:before="26"/>
              <w:jc w:val="center"/>
            </w:pPr>
            <w:r>
              <w:t xml:space="preserve">Fastest; FAR impractical</w:t>
            </w:r>
          </w:p>
        </w:tc>
      </w:tr>
      <w:tr>
        <w:tc>
          <w:tcPr>
            <w:tcW w:type="dxa" w:w="2000"/>
          </w:tcPr>
          <w:p>
            <w:pPr>
              <w:spacing w:after="26" w:before="26"/>
              <w:jc w:val="center"/>
            </w:pPr>
            <w:r>
              <w:t xml:space="preserve">W-form. 0.01%ile</w:t>
            </w:r>
          </w:p>
        </w:tc>
        <w:tc>
          <w:tcPr>
            <w:tcW w:type="dxa" w:w="1500"/>
          </w:tcPr>
          <w:p>
            <w:pPr>
              <w:spacing w:after="26" w:before="26"/>
              <w:jc w:val="center"/>
            </w:pPr>
            <w:r>
              <w:t xml:space="preserve">1.50 µs</w:t>
            </w:r>
          </w:p>
        </w:tc>
        <w:tc>
          <w:tcPr>
            <w:tcW w:type="dxa" w:w="2100"/>
          </w:tcPr>
          <w:p>
            <w:pPr>
              <w:spacing w:after="26" w:before="26"/>
              <w:jc w:val="center"/>
            </w:pPr>
            <w:r>
              <w:t xml:space="preserve">3.5 × 10⁻⁴</w:t>
            </w:r>
          </w:p>
        </w:tc>
        <w:tc>
          <w:tcPr>
            <w:tcW w:type="dxa" w:w="3760"/>
          </w:tcPr>
          <w:p>
            <w:pPr>
              <w:spacing w:after="26" w:before="26"/>
              <w:jc w:val="center"/>
            </w:pPr>
            <w:r>
              <w:t xml:space="preserve">Most conservative W setting</w:t>
            </w:r>
          </w:p>
        </w:tc>
      </w:tr>
    </w:tbl>
    <w:p>
      <w:pPr>
        <w:spacing w:after="30" w:before="30"/>
      </w:pPr>
    </w:p>
    <w:p>
      <w:pPr>
        <w:spacing w:after="60" w:before="60"/>
        <w:jc w:val="both"/>
      </w:pPr>
      <w:r>
        <w:t xml:space="preserve">Within the evaluated operating range, CUSUM consistently achieves shorter detection delay than the fixed-threshold detector at comparable FAR (7–17% improvement at matched FAR). The W-formula frontier occupies a distinct region of the Delay–FAR space. Within the evaluated parameter ranges, no operating points were observed between 10</w:t>
      </w:r>
      <w:r>
        <w:rPr>
          <w:vertAlign w:val="superscript"/>
        </w:rPr>
        <w:t xml:space="preserve">−6</w:t>
      </w:r>
      <w:r>
        <w:t xml:space="preserve"> and 3.5 × 10</w:t>
      </w:r>
      <w:r>
        <w:rPr>
          <w:vertAlign w:val="superscript"/>
        </w:rPr>
        <w:t xml:space="preserve">−4</w:t>
      </w:r>
      <w:r>
        <w:t xml:space="preserve"> FAR. At its most conservative threshold (FAR ≈ 3.5 × 10</w:t>
      </w:r>
      <w:r>
        <w:rPr>
          <w:vertAlign w:val="superscript"/>
        </w:rPr>
        <w:t xml:space="preserve">−4</w:t>
      </w:r>
      <w:r>
        <w:t xml:space="preserve">), W-formula achieves 1.50 µs — shorter than any evaluated CUSUM or fixed-threshold point with FAR ≤ 10</w:t>
      </w:r>
      <w:r>
        <w:rPr>
          <w:vertAlign w:val="superscript"/>
        </w:rPr>
        <w:t xml:space="preserve">−4</w:t>
      </w:r>
      <w:r>
        <w:t xml:space="preserve">.</w:t>
      </w:r>
    </w:p>
    <w:p>
      <w:pPr>
        <w:pStyle w:val="Heading3"/>
        <w:spacing w:after="80" w:before="200"/>
      </w:pPr>
      <w:r>
        <w:t xml:space="preserve">B. Fault Severity Dependence</w:t>
      </w:r>
    </w:p>
    <w:p>
      <w:pPr>
        <w:spacing w:after="60" w:before="60"/>
        <w:jc w:val="both"/>
      </w:pPr>
      <w:r>
        <w:t xml:space="preserve">All detectors achieve Pd = 1.000 for R_th multipliers ≥ 1.1, confirming robust detection of faults as small as 10% increase in thermal resistance. Detection delay decreases monotonically with increasing fault severity across all detectors.</w:t>
      </w:r>
    </w:p>
    <w:p>
      <w:pPr>
        <w:spacing w:after="40" w:before="60"/>
      </w:pPr>
      <w:r>
        <w:rPr>
          <w:b/>
          <w:bCs/>
        </w:rPr>
        <w:t xml:space="preserve">Table III. </w:t>
      </w:r>
      <w:r>
        <w:t xml:space="preserve">Detection delay [µs] by fault severity, 95% bootstrap CI. Pd = 1.000 for 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00"/>
        <w:gridCol w:w="2500"/>
        <w:gridCol w:w="2900"/>
      </w:tblGrid>
      <w:tr>
        <w:trPr>
          <w:tblHeader/>
        </w:trPr>
        <w:tc>
          <w:tcPr>
            <w:tcW w:type="dxa" w:w="1560"/>
            <w:shd w:fill="D9D9D9" w:color="D9D9D9" w:val="clear"/>
          </w:tcPr>
          <w:p>
            <w:pPr>
              <w:spacing w:after="36" w:before="36"/>
              <w:jc w:val="center"/>
            </w:pPr>
            <w:r>
              <w:rPr>
                <w:b/>
                <w:bCs/>
              </w:rPr>
              <w:t xml:space="preserve">R_th mult.</w:t>
            </w:r>
          </w:p>
        </w:tc>
        <w:tc>
          <w:tcPr>
            <w:tcW w:type="dxa" w:w="2300"/>
            <w:shd w:fill="D9D9D9" w:color="D9D9D9" w:val="clear"/>
          </w:tcPr>
          <w:p>
            <w:pPr>
              <w:spacing w:after="36" w:before="36"/>
              <w:jc w:val="center"/>
            </w:pPr>
            <w:r>
              <w:rPr>
                <w:b/>
                <w:bCs/>
              </w:rPr>
              <w:t xml:space="preserve">Fixed µ+5σ</w:t>
            </w:r>
          </w:p>
        </w:tc>
        <w:tc>
          <w:tcPr>
            <w:tcW w:type="dxa" w:w="2500"/>
            <w:shd w:fill="D9D9D9" w:color="D9D9D9" w:val="clear"/>
          </w:tcPr>
          <w:p>
            <w:pPr>
              <w:spacing w:after="36" w:before="36"/>
              <w:jc w:val="center"/>
            </w:pPr>
            <w:r>
              <w:rPr>
                <w:b/>
                <w:bCs/>
              </w:rPr>
              <w:t xml:space="preserve">CUSUM k=2, h=6</w:t>
            </w:r>
          </w:p>
        </w:tc>
        <w:tc>
          <w:tcPr>
            <w:tcW w:type="dxa" w:w="2900"/>
            <w:shd w:fill="D9D9D9" w:color="D9D9D9" w:val="clear"/>
          </w:tcPr>
          <w:p>
            <w:pPr>
              <w:spacing w:after="36" w:before="36"/>
              <w:jc w:val="center"/>
            </w:pPr>
            <w:r>
              <w:rPr>
                <w:b/>
                <w:bCs/>
              </w:rPr>
              <w:t xml:space="preserve">W-form. 0.01%ile</w:t>
            </w:r>
          </w:p>
        </w:tc>
      </w:tr>
      <w:tr>
        <w:tc>
          <w:tcPr>
            <w:tcW w:type="dxa" w:w="1560"/>
          </w:tcPr>
          <w:p>
            <w:pPr>
              <w:spacing w:after="26" w:before="26"/>
              <w:jc w:val="center"/>
            </w:pPr>
            <w:r>
              <w:t xml:space="preserve">×1.1</w:t>
            </w:r>
          </w:p>
        </w:tc>
        <w:tc>
          <w:tcPr>
            <w:tcW w:type="dxa" w:w="2300"/>
          </w:tcPr>
          <w:p>
            <w:pPr>
              <w:spacing w:after="26" w:before="26"/>
              <w:jc w:val="center"/>
            </w:pPr>
            <w:r>
              <w:t xml:space="preserve">8.09 [7.99, 8.18]</w:t>
            </w:r>
          </w:p>
        </w:tc>
        <w:tc>
          <w:tcPr>
            <w:tcW w:type="dxa" w:w="2500"/>
          </w:tcPr>
          <w:p>
            <w:pPr>
              <w:spacing w:after="26" w:before="26"/>
              <w:jc w:val="center"/>
            </w:pPr>
            <w:r>
              <w:t xml:space="preserve">6.66 [6.57, 6.75]</w:t>
            </w:r>
          </w:p>
        </w:tc>
        <w:tc>
          <w:tcPr>
            <w:tcW w:type="dxa" w:w="2900"/>
          </w:tcPr>
          <w:p>
            <w:pPr>
              <w:spacing w:after="26" w:before="26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1560"/>
          </w:tcPr>
          <w:p>
            <w:pPr>
              <w:spacing w:after="26" w:before="26"/>
              <w:jc w:val="center"/>
            </w:pPr>
            <w:r>
              <w:t xml:space="preserve">×1.2</w:t>
            </w:r>
          </w:p>
        </w:tc>
        <w:tc>
          <w:tcPr>
            <w:tcW w:type="dxa" w:w="2300"/>
          </w:tcPr>
          <w:p>
            <w:pPr>
              <w:spacing w:after="26" w:before="26"/>
              <w:jc w:val="center"/>
            </w:pPr>
            <w:r>
              <w:t xml:space="preserve">5.63 [5.56, 5.70]</w:t>
            </w:r>
          </w:p>
        </w:tc>
        <w:tc>
          <w:tcPr>
            <w:tcW w:type="dxa" w:w="2500"/>
          </w:tcPr>
          <w:p>
            <w:pPr>
              <w:spacing w:after="26" w:before="26"/>
              <w:jc w:val="center"/>
            </w:pPr>
            <w:r>
              <w:t xml:space="preserve">4.66 [4.60, 4.72]</w:t>
            </w:r>
          </w:p>
        </w:tc>
        <w:tc>
          <w:tcPr>
            <w:tcW w:type="dxa" w:w="2900"/>
          </w:tcPr>
          <w:p>
            <w:pPr>
              <w:spacing w:after="26" w:before="26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1560"/>
          </w:tcPr>
          <w:p>
            <w:pPr>
              <w:spacing w:after="26" w:before="26"/>
              <w:jc w:val="center"/>
            </w:pPr>
            <w:r>
              <w:t xml:space="preserve">×1.5</w:t>
            </w:r>
          </w:p>
        </w:tc>
        <w:tc>
          <w:tcPr>
            <w:tcW w:type="dxa" w:w="2300"/>
          </w:tcPr>
          <w:p>
            <w:pPr>
              <w:spacing w:after="26" w:before="26"/>
              <w:jc w:val="center"/>
            </w:pPr>
            <w:r>
              <w:t xml:space="preserve">3.58 [3.53, 3.63]</w:t>
            </w:r>
          </w:p>
        </w:tc>
        <w:tc>
          <w:tcPr>
            <w:tcW w:type="dxa" w:w="2500"/>
          </w:tcPr>
          <w:p>
            <w:pPr>
              <w:spacing w:after="26" w:before="26"/>
              <w:jc w:val="center"/>
            </w:pPr>
            <w:r>
              <w:t xml:space="preserve">3.07 [3.03, 3.11]</w:t>
            </w:r>
          </w:p>
        </w:tc>
        <w:tc>
          <w:tcPr>
            <w:tcW w:type="dxa" w:w="2900"/>
          </w:tcPr>
          <w:p>
            <w:pPr>
              <w:spacing w:after="26" w:before="26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1560"/>
          </w:tcPr>
          <w:p>
            <w:pPr>
              <w:spacing w:after="26" w:before="26"/>
              <w:jc w:val="center"/>
            </w:pPr>
            <w:r>
              <w:t xml:space="preserve">×2.0</w:t>
            </w:r>
          </w:p>
        </w:tc>
        <w:tc>
          <w:tcPr>
            <w:tcW w:type="dxa" w:w="2300"/>
          </w:tcPr>
          <w:p>
            <w:pPr>
              <w:spacing w:after="26" w:before="26"/>
              <w:jc w:val="center"/>
            </w:pPr>
            <w:r>
              <w:t xml:space="preserve">2.58 [2.54, 2.61]</w:t>
            </w:r>
          </w:p>
        </w:tc>
        <w:tc>
          <w:tcPr>
            <w:tcW w:type="dxa" w:w="2500"/>
          </w:tcPr>
          <w:p>
            <w:pPr>
              <w:spacing w:after="26" w:before="26"/>
              <w:jc w:val="center"/>
            </w:pPr>
            <w:r>
              <w:t xml:space="preserve">2.25 [2.22, 2.28]</w:t>
            </w:r>
          </w:p>
        </w:tc>
        <w:tc>
          <w:tcPr>
            <w:tcW w:type="dxa" w:w="2900"/>
          </w:tcPr>
          <w:p>
            <w:pPr>
              <w:spacing w:after="26" w:before="26"/>
              <w:jc w:val="center"/>
            </w:pPr>
            <w:r>
              <w:t xml:space="preserve">—</w:t>
            </w:r>
          </w:p>
        </w:tc>
      </w:tr>
      <w:tr>
        <w:tc>
          <w:tcPr>
            <w:tcW w:type="dxa" w:w="1560"/>
          </w:tcPr>
          <w:p>
            <w:pPr>
              <w:spacing w:after="26" w:before="26"/>
              <w:jc w:val="center"/>
            </w:pPr>
            <w:r>
              <w:t xml:space="preserve">×2.2</w:t>
            </w:r>
          </w:p>
        </w:tc>
        <w:tc>
          <w:tcPr>
            <w:tcW w:type="dxa" w:w="2300"/>
          </w:tcPr>
          <w:p>
            <w:pPr>
              <w:spacing w:after="26" w:before="26"/>
              <w:jc w:val="center"/>
            </w:pPr>
            <w:r>
              <w:t xml:space="preserve">2.37 [2.34, 2.40]</w:t>
            </w:r>
          </w:p>
        </w:tc>
        <w:tc>
          <w:tcPr>
            <w:tcW w:type="dxa" w:w="2500"/>
          </w:tcPr>
          <w:p>
            <w:pPr>
              <w:spacing w:after="26" w:before="26"/>
              <w:jc w:val="center"/>
            </w:pPr>
            <w:r>
              <w:t xml:space="preserve">2.09 [2.07, 2.12]</w:t>
            </w:r>
          </w:p>
        </w:tc>
        <w:tc>
          <w:tcPr>
            <w:tcW w:type="dxa" w:w="2900"/>
          </w:tcPr>
          <w:p>
            <w:pPr>
              <w:spacing w:after="26" w:before="26"/>
              <w:jc w:val="center"/>
            </w:pPr>
            <w:r>
              <w:t xml:space="preserve">1.50 [1.44, 1.55]</w:t>
            </w:r>
          </w:p>
        </w:tc>
      </w:tr>
    </w:tbl>
    <w:p>
      <w:pPr>
        <w:spacing w:after="80" w:before="36"/>
      </w:pPr>
      <w:r>
        <w:rPr>
          <w:i/>
          <w:iCs/>
          <w:sz w:val="18"/>
          <w:szCs w:val="18"/>
        </w:rPr>
        <w:t xml:space="preserve">— W-formula severity sweep reserved for future work.</w:t>
      </w:r>
    </w:p>
    <w:p>
      <w:pPr>
        <w:pStyle w:val="Heading3"/>
        <w:spacing w:after="80" w:before="200"/>
      </w:pPr>
      <w:r>
        <w:t xml:space="preserve">C. Robustness Across Noise Configurations</w:t>
      </w:r>
    </w:p>
    <w:p>
      <w:pPr>
        <w:spacing w:after="60" w:before="60"/>
        <w:jc w:val="both"/>
      </w:pPr>
      <w:r>
        <w:rPr>
          <w:b/>
          <w:bCs/>
        </w:rPr>
        <w:t xml:space="preserve">Experimental design. </w:t>
      </w:r>
      <w:r>
        <w:t xml:space="preserve">The robustness sweep varies one noise parameter at a time from the baseline (σ_Gaussian = 2 pm, σ_pink = 1 pm, σ_drift = 0.5 pm/√s, τ_th = 7 µs, fault onset = 200 µs). For each configuration, N = 200 trials are run. The W-formula threshold is set adaptively as the 0.01st percentile of the pre-fault W trace computed per trial — so the threshold recalibrates to the noise level of each configuration automatically. CUSUM uses fixed k_σ = 2.0, h_σ = 6.0; Fixed uses µ+5σ. No parameter retuning was performed for any detector.</w:t>
      </w:r>
    </w:p>
    <w:p>
      <w:pPr>
        <w:spacing w:after="40" w:before="80"/>
        <w:jc w:val="center"/>
      </w:pPr>
      <w:r>
        <w:drawing>
          <wp:inline distT="0" distB="0" distL="0" distR="0">
            <wp:extent cx="5143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b/>
          <w:bCs/>
        </w:rPr>
        <w:t xml:space="preserve">Fig. 2. </w:t>
      </w:r>
      <w:r>
        <w:t xml:space="preserve">Robustness sweep: mean detection delay and FAR across six noise configurations (N=200 trials each, 95% CI on delay bars).</w:t>
      </w:r>
    </w:p>
    <w:p>
      <w:pPr>
        <w:spacing w:after="40" w:before="60"/>
      </w:pPr>
      <w:r>
        <w:rPr>
          <w:b/>
          <w:bCs/>
        </w:rPr>
        <w:t xml:space="preserve">Table IV. </w:t>
      </w:r>
      <w:r>
        <w:t xml:space="preserve">Detector ranking by detection delay across noise configurations.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560"/>
      </w:tblGrid>
      <w:tr>
        <w:trPr>
          <w:tblHeader/>
        </w:trPr>
        <w:tc>
          <w:tcPr>
            <w:tcW w:type="dxa" w:w="2400"/>
            <w:shd w:fill="D9D9D9" w:color="D9D9D9" w:val="clear"/>
          </w:tcPr>
          <w:p>
            <w:pPr>
              <w:spacing w:after="36" w:before="36"/>
              <w:jc w:val="center"/>
            </w:pPr>
            <w:r>
              <w:rPr>
                <w:b/>
                <w:bCs/>
              </w:rPr>
              <w:t xml:space="preserve">Noise configuration</w:t>
            </w:r>
          </w:p>
        </w:tc>
        <w:tc>
          <w:tcPr>
            <w:tcW w:type="dxa" w:w="1800"/>
            <w:shd w:fill="D9D9D9" w:color="D9D9D9" w:val="clear"/>
          </w:tcPr>
          <w:p>
            <w:pPr>
              <w:spacing w:after="36" w:before="36"/>
              <w:jc w:val="center"/>
            </w:pPr>
            <w:r>
              <w:rPr>
                <w:b/>
                <w:bCs/>
              </w:rPr>
              <w:t xml:space="preserve">1st (fastest)</w:t>
            </w:r>
          </w:p>
        </w:tc>
        <w:tc>
          <w:tcPr>
            <w:tcW w:type="dxa" w:w="1800"/>
            <w:shd w:fill="D9D9D9" w:color="D9D9D9" w:val="clear"/>
          </w:tcPr>
          <w:p>
            <w:pPr>
              <w:spacing w:after="36" w:before="36"/>
              <w:jc w:val="center"/>
            </w:pPr>
            <w:r>
              <w:rPr>
                <w:b/>
                <w:bCs/>
              </w:rPr>
              <w:t xml:space="preserve">2nd</w:t>
            </w:r>
          </w:p>
        </w:tc>
        <w:tc>
          <w:tcPr>
            <w:tcW w:type="dxa" w:w="1800"/>
            <w:shd w:fill="D9D9D9" w:color="D9D9D9" w:val="clear"/>
          </w:tcPr>
          <w:p>
            <w:pPr>
              <w:spacing w:after="36" w:before="36"/>
              <w:jc w:val="center"/>
            </w:pPr>
            <w:r>
              <w:rPr>
                <w:b/>
                <w:bCs/>
              </w:rPr>
              <w:t xml:space="preserve">3rd</w:t>
            </w:r>
          </w:p>
        </w:tc>
        <w:tc>
          <w:tcPr>
            <w:tcW w:type="dxa" w:w="1560"/>
            <w:shd w:fill="D9D9D9" w:color="D9D9D9" w:val="clear"/>
          </w:tcPr>
          <w:p>
            <w:pPr>
              <w:spacing w:after="36" w:before="36"/>
              <w:jc w:val="center"/>
            </w:pPr>
            <w:r>
              <w:rPr>
                <w:b/>
                <w:bCs/>
              </w:rPr>
              <w:t xml:space="preserve">W-FAR</w:t>
            </w:r>
          </w:p>
        </w:tc>
      </w:tr>
      <w:tr>
        <w:tc>
          <w:tcPr>
            <w:tcW w:type="dxa" w:w="2400"/>
          </w:tcPr>
          <w:p>
            <w:pPr>
              <w:spacing w:after="26" w:before="26"/>
              <w:jc w:val="center"/>
            </w:pPr>
            <w:r>
              <w:t xml:space="preserve">Baseline</w:t>
            </w:r>
          </w:p>
        </w:tc>
        <w:tc>
          <w:tcPr>
            <w:tcW w:type="dxa" w:w="1800"/>
          </w:tcPr>
          <w:p>
            <w:pPr>
              <w:spacing w:after="26" w:before="26"/>
              <w:jc w:val="center"/>
            </w:pPr>
            <w:r>
              <w:t xml:space="preserve">W (1.41 µs)</w:t>
            </w:r>
          </w:p>
        </w:tc>
        <w:tc>
          <w:tcPr>
            <w:tcW w:type="dxa" w:w="1800"/>
          </w:tcPr>
          <w:p>
            <w:pPr>
              <w:spacing w:after="26" w:before="26"/>
              <w:jc w:val="center"/>
            </w:pPr>
            <w:r>
              <w:t xml:space="preserve">CUSUM (2.08 µs)</w:t>
            </w:r>
          </w:p>
        </w:tc>
        <w:tc>
          <w:tcPr>
            <w:tcW w:type="dxa" w:w="1800"/>
          </w:tcPr>
          <w:p>
            <w:pPr>
              <w:spacing w:after="26" w:before="26"/>
              <w:jc w:val="center"/>
            </w:pPr>
            <w:r>
              <w:t xml:space="preserve">Fixed (2.36 µs)</w:t>
            </w:r>
          </w:p>
        </w:tc>
        <w:tc>
          <w:tcPr>
            <w:tcW w:type="dxa" w:w="1560"/>
          </w:tcPr>
          <w:p>
            <w:pPr>
              <w:spacing w:after="26" w:before="26"/>
              <w:jc w:val="center"/>
            </w:pPr>
            <w:r>
              <w:t xml:space="preserve">3.5 × 10⁻⁴</w:t>
            </w:r>
          </w:p>
        </w:tc>
      </w:tr>
      <w:tr>
        <w:tc>
          <w:tcPr>
            <w:tcW w:type="dxa" w:w="2400"/>
          </w:tcPr>
          <w:p>
            <w:pPr>
              <w:spacing w:after="26" w:before="26"/>
              <w:jc w:val="center"/>
            </w:pPr>
            <w:r>
              <w:t xml:space="preserve">More drift (×4)</w:t>
            </w:r>
          </w:p>
        </w:tc>
        <w:tc>
          <w:tcPr>
            <w:tcW w:type="dxa" w:w="1800"/>
          </w:tcPr>
          <w:p>
            <w:pPr>
              <w:spacing w:after="26" w:before="26"/>
              <w:jc w:val="center"/>
            </w:pPr>
            <w:r>
              <w:t xml:space="preserve">W (1.41 µs)</w:t>
            </w:r>
          </w:p>
        </w:tc>
        <w:tc>
          <w:tcPr>
            <w:tcW w:type="dxa" w:w="1800"/>
          </w:tcPr>
          <w:p>
            <w:pPr>
              <w:spacing w:after="26" w:before="26"/>
              <w:jc w:val="center"/>
            </w:pPr>
            <w:r>
              <w:t xml:space="preserve">CUSUM (2.08 µs)</w:t>
            </w:r>
          </w:p>
        </w:tc>
        <w:tc>
          <w:tcPr>
            <w:tcW w:type="dxa" w:w="1800"/>
          </w:tcPr>
          <w:p>
            <w:pPr>
              <w:spacing w:after="26" w:before="26"/>
              <w:jc w:val="center"/>
            </w:pPr>
            <w:r>
              <w:t xml:space="preserve">Fixed (2.37 µs)</w:t>
            </w:r>
          </w:p>
        </w:tc>
        <w:tc>
          <w:tcPr>
            <w:tcW w:type="dxa" w:w="1560"/>
          </w:tcPr>
          <w:p>
            <w:pPr>
              <w:spacing w:after="26" w:before="26"/>
              <w:jc w:val="center"/>
            </w:pPr>
            <w:r>
              <w:t xml:space="preserve">3.5 × 10⁻⁴</w:t>
            </w:r>
          </w:p>
        </w:tc>
      </w:tr>
      <w:tr>
        <w:tc>
          <w:tcPr>
            <w:tcW w:type="dxa" w:w="2400"/>
          </w:tcPr>
          <w:p>
            <w:pPr>
              <w:spacing w:after="26" w:before="26"/>
              <w:jc w:val="center"/>
            </w:pPr>
            <w:r>
              <w:t xml:space="preserve">More pink (×3)</w:t>
            </w:r>
          </w:p>
        </w:tc>
        <w:tc>
          <w:tcPr>
            <w:tcW w:type="dxa" w:w="1800"/>
          </w:tcPr>
          <w:p>
            <w:pPr>
              <w:spacing w:after="26" w:before="26"/>
              <w:jc w:val="center"/>
            </w:pPr>
            <w:r>
              <w:t xml:space="preserve">W (1.82 µs)</w:t>
            </w:r>
          </w:p>
        </w:tc>
        <w:tc>
          <w:tcPr>
            <w:tcW w:type="dxa" w:w="1800"/>
          </w:tcPr>
          <w:p>
            <w:pPr>
              <w:spacing w:after="26" w:before="26"/>
              <w:jc w:val="center"/>
            </w:pPr>
            <w:r>
              <w:t xml:space="preserve">CUSUM (2.56 µs)</w:t>
            </w:r>
          </w:p>
        </w:tc>
        <w:tc>
          <w:tcPr>
            <w:tcW w:type="dxa" w:w="1800"/>
          </w:tcPr>
          <w:p>
            <w:pPr>
              <w:spacing w:after="26" w:before="26"/>
              <w:jc w:val="center"/>
            </w:pPr>
            <w:r>
              <w:t xml:space="preserve">Fixed (3.12 µs)</w:t>
            </w:r>
          </w:p>
        </w:tc>
        <w:tc>
          <w:tcPr>
            <w:tcW w:type="dxa" w:w="1560"/>
          </w:tcPr>
          <w:p>
            <w:pPr>
              <w:spacing w:after="26" w:before="26"/>
              <w:jc w:val="center"/>
            </w:pPr>
            <w:r>
              <w:t xml:space="preserve">3.5 × 10⁻⁴</w:t>
            </w:r>
          </w:p>
        </w:tc>
      </w:tr>
      <w:tr>
        <w:tc>
          <w:tcPr>
            <w:tcW w:type="dxa" w:w="2400"/>
          </w:tcPr>
          <w:p>
            <w:pPr>
              <w:spacing w:after="26" w:before="26"/>
              <w:jc w:val="center"/>
            </w:pPr>
            <w:r>
              <w:t xml:space="preserve">Higher σ (×2)</w:t>
            </w:r>
          </w:p>
        </w:tc>
        <w:tc>
          <w:tcPr>
            <w:tcW w:type="dxa" w:w="1800"/>
          </w:tcPr>
          <w:p>
            <w:pPr>
              <w:spacing w:after="26" w:before="26"/>
              <w:jc w:val="center"/>
            </w:pPr>
            <w:r>
              <w:t xml:space="preserve">W (1.70 µs)</w:t>
            </w:r>
          </w:p>
        </w:tc>
        <w:tc>
          <w:tcPr>
            <w:tcW w:type="dxa" w:w="1800"/>
          </w:tcPr>
          <w:p>
            <w:pPr>
              <w:spacing w:after="26" w:before="26"/>
              <w:jc w:val="center"/>
            </w:pPr>
            <w:r>
              <w:t xml:space="preserve">CUSUM (2.78 µs)</w:t>
            </w:r>
          </w:p>
        </w:tc>
        <w:tc>
          <w:tcPr>
            <w:tcW w:type="dxa" w:w="1800"/>
          </w:tcPr>
          <w:p>
            <w:pPr>
              <w:spacing w:after="26" w:before="26"/>
              <w:jc w:val="center"/>
            </w:pPr>
            <w:r>
              <w:t xml:space="preserve">Fixed (3.18 µs)</w:t>
            </w:r>
          </w:p>
        </w:tc>
        <w:tc>
          <w:tcPr>
            <w:tcW w:type="dxa" w:w="1560"/>
          </w:tcPr>
          <w:p>
            <w:pPr>
              <w:spacing w:after="26" w:before="26"/>
              <w:jc w:val="center"/>
            </w:pPr>
            <w:r>
              <w:t xml:space="preserve">3.5 × 10⁻⁴</w:t>
            </w:r>
          </w:p>
        </w:tc>
      </w:tr>
      <w:tr>
        <w:tc>
          <w:tcPr>
            <w:tcW w:type="dxa" w:w="2400"/>
          </w:tcPr>
          <w:p>
            <w:pPr>
              <w:spacing w:after="26" w:before="26"/>
              <w:jc w:val="center"/>
            </w:pPr>
            <w:r>
              <w:t xml:space="preserve">Faster τ (3 µs)</w:t>
            </w:r>
          </w:p>
        </w:tc>
        <w:tc>
          <w:tcPr>
            <w:tcW w:type="dxa" w:w="1800"/>
          </w:tcPr>
          <w:p>
            <w:pPr>
              <w:spacing w:after="26" w:before="26"/>
              <w:jc w:val="center"/>
            </w:pPr>
            <w:r>
              <w:t xml:space="preserve">W (0.88 µs)</w:t>
            </w:r>
          </w:p>
        </w:tc>
        <w:tc>
          <w:tcPr>
            <w:tcW w:type="dxa" w:w="1800"/>
          </w:tcPr>
          <w:p>
            <w:pPr>
              <w:spacing w:after="26" w:before="26"/>
              <w:jc w:val="center"/>
            </w:pPr>
            <w:r>
              <w:t xml:space="preserve">CUSUM (1.28 µs)</w:t>
            </w:r>
          </w:p>
        </w:tc>
        <w:tc>
          <w:tcPr>
            <w:tcW w:type="dxa" w:w="1800"/>
          </w:tcPr>
          <w:p>
            <w:pPr>
              <w:spacing w:after="26" w:before="26"/>
              <w:jc w:val="center"/>
            </w:pPr>
            <w:r>
              <w:t xml:space="preserve">Fixed (1.50 µs)</w:t>
            </w:r>
          </w:p>
        </w:tc>
        <w:tc>
          <w:tcPr>
            <w:tcW w:type="dxa" w:w="1560"/>
          </w:tcPr>
          <w:p>
            <w:pPr>
              <w:spacing w:after="26" w:before="26"/>
              <w:jc w:val="center"/>
            </w:pPr>
            <w:r>
              <w:t xml:space="preserve">1.5 × 10⁻⁴</w:t>
            </w:r>
          </w:p>
        </w:tc>
      </w:tr>
      <w:tr>
        <w:tc>
          <w:tcPr>
            <w:tcW w:type="dxa" w:w="2400"/>
          </w:tcPr>
          <w:p>
            <w:pPr>
              <w:spacing w:after="26" w:before="26"/>
              <w:jc w:val="center"/>
            </w:pPr>
            <w:r>
              <w:t xml:space="preserve">Later onset</w:t>
            </w:r>
          </w:p>
        </w:tc>
        <w:tc>
          <w:tcPr>
            <w:tcW w:type="dxa" w:w="1800"/>
          </w:tcPr>
          <w:p>
            <w:pPr>
              <w:spacing w:after="26" w:before="26"/>
              <w:jc w:val="center"/>
            </w:pPr>
            <w:r>
              <w:t xml:space="preserve">W (1.52 µs)</w:t>
            </w:r>
          </w:p>
        </w:tc>
        <w:tc>
          <w:tcPr>
            <w:tcW w:type="dxa" w:w="1800"/>
          </w:tcPr>
          <w:p>
            <w:pPr>
              <w:spacing w:after="26" w:before="26"/>
              <w:jc w:val="center"/>
            </w:pPr>
            <w:r>
              <w:t xml:space="preserve">CUSUM (2.10 µs)</w:t>
            </w:r>
          </w:p>
        </w:tc>
        <w:tc>
          <w:tcPr>
            <w:tcW w:type="dxa" w:w="1800"/>
          </w:tcPr>
          <w:p>
            <w:pPr>
              <w:spacing w:after="26" w:before="26"/>
              <w:jc w:val="center"/>
            </w:pPr>
            <w:r>
              <w:t xml:space="preserve">Fixed (2.40 µs)</w:t>
            </w:r>
          </w:p>
        </w:tc>
        <w:tc>
          <w:tcPr>
            <w:tcW w:type="dxa" w:w="1560"/>
          </w:tcPr>
          <w:p>
            <w:pPr>
              <w:spacing w:after="26" w:before="26"/>
              <w:jc w:val="center"/>
            </w:pPr>
            <w:r>
              <w:t xml:space="preserve">2.3 × 10⁻⁴</w:t>
            </w:r>
          </w:p>
        </w:tc>
      </w:tr>
    </w:tbl>
    <w:p>
      <w:pPr>
        <w:spacing w:after="30" w:before="30"/>
      </w:pPr>
    </w:p>
    <w:p>
      <w:pPr>
        <w:spacing w:after="60" w:before="60"/>
        <w:jc w:val="both"/>
      </w:pPr>
      <w:r>
        <w:t xml:space="preserve">Within the investigated noise configurations, the relative ranking of the evaluated detectors did not change: W-formula achieved the shortest detection delay in all six cases, followed by CUSUM, followed by Fixed threshold. The W-formula FAR, within the investigated configurations, remained in the range 1.5 × 10</w:t>
      </w:r>
      <w:r>
        <w:rPr>
          <w:vertAlign w:val="superscript"/>
        </w:rPr>
        <w:t xml:space="preserve">−4</w:t>
      </w:r>
      <w:r>
        <w:t xml:space="preserve"> to 3.5 × 10</w:t>
      </w:r>
      <w:r>
        <w:rPr>
          <w:vertAlign w:val="superscript"/>
        </w:rPr>
        <w:t xml:space="preserve">−4</w:t>
      </w:r>
      <w:r>
        <w:t xml:space="preserve">, reflecting the adaptive per-trial calibration that scales the threshold to the pre-fault noise level. This robustness property is partly a consequence of the adaptive calibration strategy and should not be generalised beyond the evaluated conditions.</w:t>
      </w:r>
    </w:p>
    <w:p>
      <w:pPr>
        <w:pStyle w:val="Heading2"/>
        <w:spacing w:after="80" w:before="200"/>
      </w:pPr>
      <w:r>
        <w:t xml:space="preserve">VI. Discussion</w:t>
      </w:r>
    </w:p>
    <w:p>
      <w:pPr>
        <w:spacing w:after="60" w:before="60"/>
        <w:jc w:val="both"/>
      </w:pPr>
      <w:r>
        <w:rPr>
          <w:b/>
          <w:bCs/>
        </w:rPr>
        <w:t xml:space="preserve">Structural distinctness of W and CUSUM. </w:t>
      </w:r>
      <w:r>
        <w:t xml:space="preserve">The two detectors belong to different mathematical classes. CUSUM linearly accumulates signed deviations of the residual r(t) and is asymptotically optimal under i.i.d. Gaussian noise. W(t) = Q(t)·D(t) − T(t) is a nonlinear function of drive power, an exponential model-fidelity term, and cumulative thermal stress. The detectors are not algebraic reformulations of one another; no algebraic transformation W = f(CUSUM) or CUSUM = g(W) is known. A formal proof of non-equivalence in the measure-theoretic sense is beyond the scope of this paper.</w:t>
      </w:r>
    </w:p>
    <w:p>
      <w:pPr>
        <w:spacing w:after="60" w:before="60"/>
        <w:jc w:val="both"/>
      </w:pPr>
      <w:r>
        <w:rPr>
          <w:b/>
          <w:bCs/>
        </w:rPr>
        <w:t xml:space="preserve">CUSUM vs Fixed threshold. </w:t>
      </w:r>
      <w:r>
        <w:t xml:space="preserve">The consistent improvement of CUSUM confirms that sequential evidence accumulation is beneficial even under colored noise. The improvement is modest (7–17% in delay at matched FAR) because the 1/f and drift components are non-stationary, partially degrading CUSUM's advantage relative to purely Gaussian conditions.</w:t>
      </w:r>
    </w:p>
    <w:p>
      <w:pPr>
        <w:spacing w:after="60" w:before="60"/>
        <w:jc w:val="both"/>
      </w:pPr>
      <w:r>
        <w:rPr>
          <w:b/>
          <w:bCs/>
        </w:rPr>
        <w:t xml:space="preserve">W-formula operating region and adaptive calibration. </w:t>
      </w:r>
      <w:r>
        <w:t xml:space="preserve">The W-formula is not a direct replacement for CUSUM: it achieves shorter delays but at higher FAR. Its threshold is calibrated per trial from the pre-fault W trace, which means the FAR is partly determined by the noise correlation structure rather than a fixed design parameter. The robustness of the relative ranking across noise configurations is partly attributable to this adaptive calibration.</w:t>
      </w:r>
    </w:p>
    <w:p>
      <w:pPr>
        <w:spacing w:after="60" w:before="60"/>
        <w:jc w:val="both"/>
      </w:pPr>
      <w:r>
        <w:rPr>
          <w:b/>
          <w:bCs/>
        </w:rPr>
        <w:t xml:space="preserve">Scope of comparisons and optimality. </w:t>
      </w:r>
      <w:r>
        <w:t xml:space="preserve">No claim of optimality is made for any evaluated detector. Several established sequential change-point methods — including Bayesian Online Changepoint Detection (BOCPD), Shiryaev–Roberts, recursive GLR, EWMA, and Kalman innovation monitors — were not evaluated in this study. Future work should include these methods to obtain a more complete picture of the achievable Delay–FAR trade-off.</w:t>
      </w:r>
    </w:p>
    <w:p>
      <w:pPr>
        <w:spacing w:after="60" w:before="60"/>
        <w:jc w:val="both"/>
      </w:pPr>
      <w:r>
        <w:rPr>
          <w:b/>
          <w:bCs/>
        </w:rPr>
        <w:t xml:space="preserve">Limitations. </w:t>
      </w:r>
      <w:r>
        <w:t xml:space="preserve">All results are simulation-based; the model is calibrated to literature values, not measured device data. FAR = 0 entries carry an upper bound of 1.8 × 10</w:t>
      </w:r>
      <w:r>
        <w:rPr>
          <w:vertAlign w:val="superscript"/>
        </w:rPr>
        <w:t xml:space="preserve">−3</w:t>
      </w:r>
      <w:r>
        <w:t xml:space="preserve"> at N = 200. W-formula FAR stability is reported within the investigated conditions only.</w:t>
      </w:r>
    </w:p>
    <w:p>
      <w:pPr>
        <w:pStyle w:val="Heading2"/>
        <w:spacing w:after="80" w:before="200"/>
      </w:pPr>
      <w:r>
        <w:t xml:space="preserve">VII. Conclusion</w:t>
      </w:r>
    </w:p>
    <w:p>
      <w:pPr>
        <w:spacing w:after="60" w:before="60"/>
        <w:jc w:val="both"/>
      </w:pPr>
      <w:r>
        <w:t xml:space="preserve">We have presented a compact thermo-optic fault detection framework for silicon microring resonators. By sweeping detector thresholds to obtain full Delay–FAR operating frontiers, we demonstrate that CUSUM improves upon fixed-threshold detection consistently within the evaluated operating range, while the W-formula safety layer extends the observable frontier toward shorter detection delays. A robustness sweep across six noise configurations shows that the relative ranking of the three detectors did not change across the investigated conditions. The presented framework provides a reproducible benchmark for future experimental studies and for comparison with additional detection methods not evaluated here.</w:t>
      </w:r>
    </w:p>
    <w:p>
      <w:pPr>
        <w:pStyle w:val="Heading2"/>
        <w:spacing w:after="80" w:before="200"/>
      </w:pPr>
      <w:r>
        <w:t xml:space="preserve">References</w:t>
      </w:r>
    </w:p>
    <w:p>
      <w:pPr>
        <w:spacing w:after="60" w:before="60"/>
        <w:jc w:val="both"/>
      </w:pPr>
      <w:r>
        <w:t xml:space="preserve">[1] E. S. Page, "Continuous inspection schemes," Biometrika, vol. 41, pp. 100–115, 1954.</w:t>
      </w:r>
    </w:p>
    <w:p>
      <w:pPr>
        <w:spacing w:after="60" w:before="60"/>
        <w:jc w:val="both"/>
      </w:pPr>
      <w:r>
        <w:t xml:space="preserve">[2] D. Kretski, "ORAC-NT Embedded Framework," Zenodo, DOI: 10.5281/zenodo.19553825, 2025.</w:t>
      </w:r>
    </w:p>
    <w:p>
      <w:pPr>
        <w:spacing w:after="60" w:before="60"/>
        <w:jc w:val="both"/>
      </w:pPr>
      <w:r>
        <w:t xml:space="preserve">[3] A. Bahadori et al., "Thermal Heterogeneous Integration of Silicon Photonics," J. Lightwave Technol., vol. 36, pp. 3919–3930, 2018.</w:t>
      </w:r>
    </w:p>
    <w:p>
      <w:pPr>
        <w:spacing w:after="60" w:before="60"/>
        <w:jc w:val="both"/>
      </w:pPr>
      <w:r>
        <w:t xml:space="preserve">[4] W. Sun, R. Wang, J. Li, H. Zhang, Z. Jia, and Q. Li, "Integrated microheater on the 4H-silicon-carbide-on-insulator platform and its applications," arXiv:2506.15035, 2025.</w:t>
      </w:r>
    </w:p>
    <w:p>
      <w:pPr>
        <w:spacing w:after="60" w:before="60"/>
        <w:jc w:val="both"/>
      </w:pPr>
      <w:r>
        <w:t xml:space="preserve">[5] H. V. Poor and O. Hadjiliadis, Quickest Detection. Cambridge University Press, 2009.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7e6ff5de3585f8dca7841d6e985603dd8b68fc7.png"/><Relationship Id="rId8" Type="http://schemas.openxmlformats.org/officeDocument/2006/relationships/image" Target="media/919a4d2a0240257ff6310b70c7f631ac36dd663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2026-08-03T23:11:08.606Z</dcterms:created>
  <dcterms:modified xsi:type="dcterms:W3CDTF">2026-08-03T23:11:08.620Z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