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D7C6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sz w:val="6"/>
              </w:rPr>
              <w:t xml:space="preserve"> </w:t>
            </w:r>
          </w:p>
        </w:tc>
        <w:tc>
          <w:tcPr>
            <w:tcW w:type="dxa" w:w="3324"/>
            <w:shd w:fill="12A387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sz w:val="6"/>
              </w:rPr>
              <w:t xml:space="preserve"> </w:t>
            </w:r>
          </w:p>
        </w:tc>
        <w:tc>
          <w:tcPr>
            <w:tcW w:type="dxa" w:w="3324"/>
            <w:shd w:fill="2ECC71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sz w:val="6"/>
              </w:rPr>
              <w:t xml:space="preserve"> 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r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/>
          <w:b/>
          <w:color w:val="1A1A2E"/>
          <w:sz w:val="36"/>
        </w:rPr>
        <w:t>ТЕХНИЧЕСКАЯ АРХИТЕКТУРА ПЛАТФОРМЫ</w:t>
      </w:r>
    </w:p>
    <w:p>
      <w:pPr>
        <w:jc w:val="center"/>
      </w:pPr>
      <w:r>
        <w:rPr>
          <w:rFonts w:ascii="Arial" w:hAnsi="Arial"/>
          <w:i/>
          <w:color w:val="5D6D7E"/>
          <w:sz w:val="22"/>
        </w:rPr>
        <w:t>ЦОД · Телеметрия · Витрина-агрегатор · Городские интеграции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7C66"/>
                <w:sz w:val="40"/>
              </w:rPr>
              <w:t>~82%</w:t>
            </w:r>
          </w:p>
        </w:tc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7C66"/>
                <w:sz w:val="40"/>
              </w:rPr>
              <w:t>3–8 мс</w:t>
            </w:r>
          </w:p>
        </w:tc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7C66"/>
                <w:sz w:val="40"/>
              </w:rPr>
              <w:t>99.9%</w:t>
            </w:r>
          </w:p>
        </w:tc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7C66"/>
                <w:sz w:val="40"/>
              </w:rPr>
              <w:t>30 нед.</w:t>
            </w:r>
          </w:p>
        </w:tc>
      </w:tr>
      <w:tr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5D6D7E"/>
                <w:sz w:val="16"/>
              </w:rPr>
              <w:t>покрытие ситуац. центра</w:t>
            </w:r>
          </w:p>
        </w:tc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5D6D7E"/>
                <w:sz w:val="16"/>
              </w:rPr>
              <w:t>latency Edge→HUB</w:t>
            </w:r>
          </w:p>
        </w:tc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5D6D7E"/>
                <w:sz w:val="16"/>
              </w:rPr>
              <w:t>SLA платформы</w:t>
            </w:r>
          </w:p>
        </w:tc>
        <w:tc>
          <w:tcPr>
            <w:tcW w:type="dxa" w:w="2493"/>
            <w:shd w:fill="E8F8F5" w:val="clear"/>
            <w:tcBorders>
              <w:left w:val="none" w:sz="0"/>
              <w:right w:val="none" w:sz="0"/>
              <w:bottom w:val="none" w:sz="0"/>
              <w:top w:val="single" w:sz="12" w:color="0D7C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5D6D7E"/>
                <w:sz w:val="16"/>
              </w:rPr>
              <w:t>план реализации</w:t>
            </w:r>
          </w:p>
        </w:tc>
      </w:tr>
    </w:tbl>
    <w:p/>
    <w:p>
      <w:pPr>
        <w:jc w:val="center"/>
      </w:pPr>
      <w:r>
        <w:rPr>
          <w:rFonts w:ascii="Arial" w:hAnsi="Arial"/>
          <w:color w:val="5D6D7E"/>
          <w:sz w:val="18"/>
        </w:rPr>
        <w:t>Версия 1.0  |  Москва, 2026  |  Для внутреннего использования</w:t>
      </w:r>
    </w:p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1. ВВЕДЕНИЕ И НАЗНАЧЕНИЕ ДОКУМЕНТА</w:t>
      </w:r>
    </w:p>
    <w:p>
      <w:pPr>
        <w:spacing w:after="160"/>
        <w:pBdr>
          <w:bottom w:val="single" w:sz="12" w:color="0D7C66" w:space="1"/>
        </w:pBdr>
      </w:pPr>
    </w:p>
    <w:p>
      <w:pPr>
        <w:jc w:val="both"/>
      </w:pPr>
      <w:r>
        <w:rPr>
          <w:rFonts w:ascii="Arial" w:hAnsi="Arial"/>
          <w:color w:val="2C3E50"/>
          <w:sz w:val="21"/>
        </w:rPr>
        <w:t>Настоящий документ описывает техническую архитектуру платформы ФинДрон применительно к пилотному проекту городской экосистемы беспилотного транспорта и доставки (ГЭБТ) в Иннополисе. Документ охватывает три ключевых технических блока: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ЦОД и инфраструктурная платформа — выбор модели развёртывания с обоснованием через финансовые показатели CAPEX/OPEX из отчётности ИТ-агрегатора;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Телеметрия и каналы связи — многоуровневая архитектура передачи данных от дронов через 5G/4G, LoRaWAN, Wi-Fi и спутник до ситуационного центра;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Витрина-агрегатор — платформенная модель «единого окна» для клиентов (кафе, ресторан, маркетплейс), аналогичная Яндекс Go, с интеграцией в городской цифровой контур.</w:t>
      </w:r>
    </w:p>
    <w:p>
      <w:pPr>
        <w:jc w:val="both"/>
      </w:pPr>
      <w:r>
        <w:rPr>
          <w:rFonts w:ascii="Arial" w:hAnsi="Arial"/>
          <w:color w:val="2C3E50"/>
          <w:sz w:val="21"/>
        </w:rPr>
        <w:t>Документ подготовлен ИТ-директором совместно с коммерческим директором в рамках проработки технической части проекта.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"/>
            <w:shd w:fill="0D7C6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9468"/>
            <w:shd w:fill="E8F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Arial" w:hAnsi="Arial"/>
                <w:i/>
                <w:color w:val="2C3E50"/>
                <w:sz w:val="21"/>
              </w:rPr>
              <w:t>Ключевой тезис: 80% функций ситуационного центра Иннополиса закрываются модулями платформы ФинДрон HUB. Содержать собственный парк дронов — нецелесообразно для малых игроков (кафе, рестораны). Модель агрегатора — оптимальный ответ: единое приложение + парк по подписке.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2. ЦОД И ИНФРАСТРУКТУРНАЯ ПЛАТФОРМА</w:t>
      </w:r>
    </w:p>
    <w:p>
      <w:pPr>
        <w:spacing w:after="160"/>
        <w:pBdr>
          <w:bottom w:val="single" w:sz="12" w:color="0D7C66" w:space="1"/>
        </w:pBdr>
      </w:pPr>
    </w:p>
    <w:p>
      <w:r>
        <w:rPr>
          <w:rFonts w:ascii="Arial" w:hAnsi="Arial"/>
          <w:b/>
          <w:color w:val="12A387"/>
          <w:sz w:val="26"/>
        </w:rPr>
        <w:t>2.1. Выбор модели развёртывания</w:t>
      </w:r>
    </w:p>
    <w:p>
      <w:pPr>
        <w:jc w:val="both"/>
      </w:pPr>
      <w:r>
        <w:rPr>
          <w:rFonts w:ascii="Arial" w:hAnsi="Arial"/>
          <w:color w:val="2C3E50"/>
          <w:sz w:val="21"/>
        </w:rPr>
        <w:t>Для платформы ФинДрон доступны три сценария развёртывания инфраструктуры. Выбор определяется соотношением CAPEX/OPEX, требованиями к latency и регуляторными ограничениями (ФЗ-152, КИИ).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A: Собственный ЦОД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B: Аренда (Атомдата)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C: Гибрид ✓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CAPEX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55–80 млн руб.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2–5 млн руб.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12–18 млн руб.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OPEX/год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8–12 млн руб.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15–22 млн руб.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10–14 млн руб.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TCO 3 года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79–116 млн руб.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47–71 млн руб.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42–60 млн руб.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Latency до борта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&lt;2 мс (локально)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8–25 мс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3–8 мс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Масштабируемость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Ограничена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Высокая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Высокая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Соответствие ФЗ-152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Полное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Требует допсоглашений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Полное (Edge локально)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Срок запуска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6–9 мес.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2–4 нед.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6–8 нед.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Рекомендация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Нет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Нет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ВЫБРАН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2.2. Гибридная архитектура (Сценарий C)</w:t>
      </w:r>
    </w:p>
    <w:p>
      <w:pPr>
        <w:jc w:val="both"/>
      </w:pPr>
      <w:r>
        <w:rPr>
          <w:rFonts w:ascii="Arial" w:hAnsi="Arial"/>
          <w:color w:val="2C3E50"/>
          <w:sz w:val="21"/>
        </w:rPr>
        <w:t>Выбранный гибридный сценарий предполагает двухуровневую топологию: Edge-узлы в точках присутствия + центральный облачный ЦОД на мощностях «Атомдата-Иннополис».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"/>
            <w:shd w:fill="0D7C6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9468"/>
            <w:shd w:fill="E8F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Arial" w:hAnsi="Arial"/>
                <w:i/>
                <w:color w:val="2C3E50"/>
                <w:sz w:val="21"/>
              </w:rPr>
              <w:t>УРОВЕНЬ 1 — Edge-узлы (на площадках): обработка телеметрии в реальном времени (&lt;5 мс), локальные сценарии безопасности, автономное поведение при потере WAN. 3 Edge-узла.</w:t>
              <w:br/>
              <w:br/>
              <w:t>УРОВЕНЬ 2 — Центральный ЦОД (Атомдата-Иннополис): агрегация данных, аналитика, хранение телеметрии (до 5 лет), интеграционный шлюз с городскими системами, ФГИС ИВП, Яндекс Go.</w:t>
              <w:br/>
              <w:br/>
              <w:t>Резервирование: 2 ЦОД (гео-резерв), RPO &lt; 1 мин, SLA 99.9%, автопереключение &lt; 2 сек.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2.3. Финансовое обоснование выбора ЦОД</w:t>
      </w:r>
    </w:p>
    <w:p>
      <w:pPr>
        <w:jc w:val="both"/>
      </w:pPr>
      <w:r>
        <w:rPr>
          <w:rFonts w:ascii="Arial" w:hAnsi="Arial"/>
          <w:color w:val="2C3E50"/>
          <w:sz w:val="21"/>
        </w:rPr>
        <w:t>Анализ отчётности ИТ-агрегатора позволяет сопоставить реальную структуру затрат с проектными оценками: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2022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2023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Вывод для ФинДрон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Выручка, млн руб.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832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1 059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1 604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Рост 93% за 2 года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Чистая прибыль, млн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131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248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412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Маржа 25.7% — ресурс на CAPEX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Осн. средства, тыс.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8 203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20 501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15 362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ОС невелики — минимум тяжёлого CAPEX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Ден. средства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24 103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87 548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5 783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Агрессивное реинвестирование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Инвест. отток 2024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466 540 тыс.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Рост через вложения, не ОС</w:t>
            </w:r>
          </w:p>
        </w:tc>
      </w:tr>
    </w:tbl>
    <w:p>
      <w:pPr>
        <w:jc w:val="both"/>
      </w:pPr>
      <w:r>
        <w:rPr>
          <w:rFonts w:ascii="Arial" w:hAnsi="Arial"/>
          <w:color w:val="2C3E50"/>
          <w:sz w:val="21"/>
        </w:rPr>
        <w:t>Вывод: аналог ИТ-агрегатора исторически избегает тяжёлого капитала. Это подтверждает правильность выбора гибридного сценария: арендованный ЦОД + лёгкие Edge-узлы.</w:t>
      </w:r>
    </w:p>
    <w:p>
      <w:r>
        <w:rPr>
          <w:rFonts w:ascii="Arial" w:hAnsi="Arial"/>
          <w:b/>
          <w:color w:val="12A387"/>
          <w:sz w:val="26"/>
        </w:rPr>
        <w:t>2.4. Состав Edge-узла и ЦОД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32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Edge-узел (на площадке)</w:t>
            </w:r>
          </w:p>
        </w:tc>
        <w:tc>
          <w:tcPr>
            <w:tcW w:type="dxa" w:w="332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Центральный ЦОД</w:t>
            </w:r>
          </w:p>
        </w:tc>
      </w:tr>
      <w:tr>
        <w:tc>
          <w:tcPr>
            <w:tcW w:type="dxa" w:w="332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Вычисления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2×GPU (NVIDIA Jetson), FPGA для RTK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Kubernetes, 16+ vCPU, 64 GB RAM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Хранение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NVMe SSD 2 TB (24ч горячие)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Object Storage 500 TB + Cold 5 лет</w:t>
            </w:r>
          </w:p>
        </w:tc>
      </w:tr>
      <w:tr>
        <w:tc>
          <w:tcPr>
            <w:tcW w:type="dxa" w:w="332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Сеть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5G-шлюз, LoRaWAN, Wi-Fi 6E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 Гбит/с uplink, BGP failover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ИБ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AES-256, TLS 1.3, local IAM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SIEM, WAF, IDS/IPS, аттестация ИСПДн</w:t>
            </w:r>
          </w:p>
        </w:tc>
      </w:tr>
      <w:tr>
        <w:tc>
          <w:tcPr>
            <w:tcW w:type="dxa" w:w="332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Питание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ИБП 2ч + дизель-генератор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Tier III (N+1), 2N питание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CAPEX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1.5–2 млн/узел × 3 = 4.5–6 млн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Аренда 6–8 млн/год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3. ТЕЛЕМЕТРИЯ И КАНАЛЫ СВЯЗИ</w:t>
      </w:r>
    </w:p>
    <w:p>
      <w:pPr>
        <w:spacing w:after="160"/>
        <w:pBdr>
          <w:bottom w:val="single" w:sz="12" w:color="0D7C66" w:space="1"/>
        </w:pBdr>
      </w:pPr>
    </w:p>
    <w:p>
      <w:r>
        <w:rPr>
          <w:rFonts w:ascii="Arial" w:hAnsi="Arial"/>
          <w:b/>
          <w:color w:val="12A387"/>
          <w:sz w:val="26"/>
        </w:rPr>
        <w:t>3.1. Многоуровневая архитектура связи</w:t>
      </w:r>
    </w:p>
    <w:p>
      <w:pPr>
        <w:jc w:val="both"/>
      </w:pPr>
      <w:r>
        <w:rPr>
          <w:rFonts w:ascii="Arial" w:hAnsi="Arial"/>
          <w:color w:val="2C3E50"/>
          <w:sz w:val="21"/>
        </w:rPr>
        <w:t>Телеметрия БАС передаётся по принципу «многоканального резервирования»: каждый борт поддерживает одновременно несколько каналов, автоматически переключаясь при деградации основного.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Технология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Дальность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Применение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Основной C2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5G SA / LTE Cat-M1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10–30 мс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Зона МО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Управление, телеметрия, видео HD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Резервный C2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4G LTE (MVNO)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&lt;50 мс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Региональный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Автопереключение &lt;2 сек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IoT / датчики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LoRaWAN (868 МГц)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0.5–2 сек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 15 км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Датчики, ПВЗ, зарядки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Ближняя зона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Wi-Fi 6E / HaLow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1–5 мс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50–200 м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Доки, зарядные, склады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Локальное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BT 5.3 / UWB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&lt;1 мс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 30 м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Посадка на постамат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Навигация RTK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GNSS + RTK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&lt;1 мс кор.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Покрытие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Точность &lt;2 см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Аварийный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Спутник LEO VSAT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20–80 мс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Глобальный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Потеря всех каналов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3.2. Схема потоков данных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"/>
            <w:shd w:fill="0D7C6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9468"/>
            <w:shd w:fill="E8F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Arial" w:hAnsi="Arial"/>
                <w:i/>
                <w:color w:val="2C3E50"/>
                <w:sz w:val="21"/>
              </w:rPr>
              <w:t>БАС (борт) → MAVLink/DJI SDK → 5G/4G → Edge-узел → нормализация → ФинДрон HUB</w:t>
              <w:br/>
              <w:br/>
              <w:t>IoT-инфраструктура (зарядки, ПВЗ) → LoRaWAN → Edge-узел → ФинДрон HUB</w:t>
              <w:br/>
              <w:br/>
              <w:t>Потребители (приложение) → REST API → ЦОД → ФинДрон HUB</w:t>
              <w:br/>
              <w:br/>
              <w:t>Яндекс Go / городские системы → API-шлюз → ЦОД → ФинДрон HUB</w:t>
              <w:br/>
              <w:br/>
              <w:t>ФинДрон HUB → WebSocket / MQTT → дашборд ситуационного центра (RT 0.5 сек)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3.3. Параметры телеметрии и хранение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Частота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Хранение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GPS, высота, скорость, курс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 Гц (0.5 сек)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GNSS борта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лет, ЦОД Cold Tier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Заряд АКБ, напряжение, темп.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0.2 Гц (5 сек)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BMS борта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лет, ЦОД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Моторы, вибрации, IMU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 Гц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FC борта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24ч Edge, 1 год ЦОД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Качество C2 link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Гц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Radio модуль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30 дней Edge, 1 год ЦОД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Видеопоток HD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25 fps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Камера борта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48ч Edge, архив по событиям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Статус ПВЗ/постамата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 событию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IoT LoRaWAN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лет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Статус зарядной станции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0.1 Гц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IoT LoRaWAN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лет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Данные пользователя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 событию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 API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 ФЗ-152, 3 года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3.4. Отказоустойчивость и автономные сценарии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При потере C2 link &gt;2 сек — автопереключение на резервный канал без уведомления оператора.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При потере всех каналов &gt;10 сек — активация автономного сценария: возврат/посадка в ближайшей безопасной точке.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При потере RTK-коррекции — переход на SBAS (2–3 м), запрет посадки на постамат, принудительный возврат.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Аварийные алерты — немедленно через интерфейс, SMS, Telegram; критические запускают защитные сценарии и передают карточку в ЕДДС-112.</w:t>
      </w:r>
    </w:p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4. ИНТЕГРАЦИЯ С ЯНДЕКС GO И ГОРОДСКИМИ СИСТЕМАМИ</w:t>
      </w:r>
    </w:p>
    <w:p>
      <w:pPr>
        <w:spacing w:after="160"/>
        <w:pBdr>
          <w:bottom w:val="single" w:sz="12" w:color="0D7C66" w:space="1"/>
        </w:pBdr>
      </w:pPr>
    </w:p>
    <w:p>
      <w:r>
        <w:rPr>
          <w:rFonts w:ascii="Arial" w:hAnsi="Arial"/>
          <w:b/>
          <w:color w:val="12A387"/>
          <w:sz w:val="26"/>
        </w:rPr>
        <w:t>4.1. Концепция интеграции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"/>
            <w:shd w:fill="0D7C6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9468"/>
            <w:shd w:fill="E8F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Arial" w:hAnsi="Arial"/>
                <w:i/>
                <w:color w:val="2C3E50"/>
                <w:sz w:val="21"/>
              </w:rPr>
              <w:t>Яндекс Go знает дороги, светофоры, пробки — и управляет наземным транспортом.</w:t>
              <w:br/>
              <w:br/>
              <w:t>ФинДрон HUB знает воздушные коридоры, геозоны, батарею и погоду — и управляет дронами.</w:t>
              <w:br/>
              <w:br/>
              <w:t>Интеграция: ФинДрон получает от Яндекса данные о наземной обстановке для выбора маршрута дрона.</w:t>
              <w:br/>
              <w:br/>
              <w:t>Светофорная интеграция: API контроллеров → ФинДрон HUB → приоритет коридора при посадке у ПВЗ.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4.2. Карта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Система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Данные от системы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Данные в систему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Яндекс Go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 API (2-сторон.)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Статус дорог, зоны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Воздушное пространство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Светофоры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OPC-UA / MQTT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Текущие фазы, расписание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Запрос приоритетной фазы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ЕДДС-112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 API + WebHook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Зоны оцепления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Карточка инцидента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ФГИС ИВП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 API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Статус воздушного пр-ва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Планы полётов (авто)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ЦОД Атомдата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VPN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Вычисления, хранение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Телеметрия, аналитика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Цифр. двойник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GraphQL / REST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3D-карта города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Позиции дронов RT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IoT LoRaWAN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MQTT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Датчики, метео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Статусы ПВЗ, зарядных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Приложение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 API + WS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Заказы, геолокация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Статус доставки, ETA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4.3. Светофорная интеграция: технический сценарий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За 30 сек до снижения к ПВЗ у перекрёстка — запрос к светофорному контроллеру.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Если посадка попадает в «красную» фазу — HUB автоматически откладывает снижение на 15–30 сек.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При вынужденной посадке — немедленный запрос аварийной фазы через приоритетный API-канал.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Все события журналируются и доступны для анализа инцидентов регулятором.</w:t>
      </w:r>
    </w:p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5. ВИТРИНА УСЛУГ: ПЛАТФОРМА ФИНДРОН HUB</w:t>
      </w:r>
    </w:p>
    <w:p>
      <w:pPr>
        <w:spacing w:after="160"/>
        <w:pBdr>
          <w:bottom w:val="single" w:sz="12" w:color="0D7C66" w:space="1"/>
        </w:pBdr>
      </w:pPr>
    </w:p>
    <w:p>
      <w:r>
        <w:rPr>
          <w:rFonts w:ascii="Arial" w:hAnsi="Arial"/>
          <w:b/>
          <w:color w:val="12A387"/>
          <w:sz w:val="26"/>
        </w:rPr>
        <w:t>5.1. Каталог модулей платформы</w:t>
      </w:r>
    </w:p>
    <w:p>
      <w:pPr>
        <w:jc w:val="both"/>
      </w:pPr>
      <w:r>
        <w:rPr>
          <w:rFonts w:ascii="Arial" w:hAnsi="Arial"/>
          <w:color w:val="2C3E50"/>
          <w:sz w:val="21"/>
        </w:rPr>
        <w:t>Платформа ФинДрон HUB состоит из 6 модулей, каждый из которых можно подключить отдельно или в составе тарифного плана. Витрина услуг доступна онлайн на findron.ru/services.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332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32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Цена/год</w:t>
            </w:r>
          </w:p>
        </w:tc>
      </w:tr>
      <w:tr>
        <w:tc>
          <w:tcPr>
            <w:tcW w:type="dxa" w:w="332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🛩️ Управление полётами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Маршруты, координация флота, миссии, ФГИС ИВП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580 000 ₽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📡 Мониторинг и телеметрия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Онлайн-телеметрия, дашборды, алерты, история до 5 лет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520 000 ₽</w:t>
            </w:r>
          </w:p>
        </w:tc>
      </w:tr>
      <w:tr>
        <w:tc>
          <w:tcPr>
            <w:tcW w:type="dxa" w:w="332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🔄 Нормализация данных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Единый формат для разных БАС, API-шлюз, ETL, REST/MQTT/MAVLink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480 000 ₽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🛡️ Отказоустойчивость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Резервирование каналов (4G+спутник+радио), автономные сценарии, 2 ЦОД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640 000 ₽</w:t>
            </w:r>
          </w:p>
        </w:tc>
      </w:tr>
      <w:tr>
        <w:tc>
          <w:tcPr>
            <w:tcW w:type="dxa" w:w="332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📊 Аналитика и отчётность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KPI флота, прогноз ТО, отчёты для регулятора, Excel/PDF</w:t>
            </w:r>
          </w:p>
        </w:tc>
        <w:tc>
          <w:tcPr>
            <w:tcW w:type="dxa" w:w="332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420 000 ₽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🔐 Безопасность и комплаенс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ФАП, шифрование, разграничение доступа, журналирование</w:t>
            </w:r>
          </w:p>
        </w:tc>
        <w:tc>
          <w:tcPr>
            <w:tcW w:type="dxa" w:w="332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 ₽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5.2. Тарифные планы</w:t>
      </w:r>
    </w:p>
    <w:p>
      <w:pPr>
        <w:jc w:val="both"/>
      </w:pPr>
      <w:r>
        <w:rPr>
          <w:rFonts w:ascii="Arial" w:hAnsi="Arial"/>
          <w:color w:val="2C3E50"/>
          <w:sz w:val="21"/>
        </w:rPr>
        <w:t>Подписочная модель «за борт в месяц» для тарифов Старт, Бизнес и Премиум. Тариф Enterprise — фиксированная цена от 500 бортов.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Старт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Бизнес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Премиум</w:t>
            </w:r>
          </w:p>
        </w:tc>
        <w:tc>
          <w:tcPr>
            <w:tcW w:type="dxa" w:w="1994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Enterprise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Цена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480 ₽/борт/мес.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890 ₽/борт/мес.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1 490 ₽/борт/мес.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490 000 ₽/мес. фикс.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Бортов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 10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 100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 499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от 500, без лимита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Модули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 на выбор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на выбор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Все 6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Все 6 + кастом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Телеметрия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раз/сек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 раз/сек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real-time (0.5 сек)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real-time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История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год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 года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лет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бессрочно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API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 + MQTT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REST + MQTT + WS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Любой + SDK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Поддержка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8/5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12/7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24/7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24/7 + TAM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SLA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99.5%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99.7%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99.9%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99.95%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Интеграции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система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 системы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без ограничений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Обучение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чел.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без огр.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+ сертификация</w:t>
            </w:r>
          </w:p>
        </w:tc>
      </w:tr>
      <w:tr>
        <w:tc>
          <w:tcPr>
            <w:tcW w:type="dxa" w:w="1994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White-label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опция</w:t>
            </w:r>
          </w:p>
        </w:tc>
        <w:tc>
          <w:tcPr>
            <w:tcW w:type="dxa" w:w="1994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✓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Инфраструктура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общая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общая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общая</w:t>
            </w:r>
          </w:p>
        </w:tc>
        <w:tc>
          <w:tcPr>
            <w:tcW w:type="dxa" w:w="199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выделенная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"/>
            <w:shd w:fill="0D7C6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9468"/>
            <w:shd w:fill="E8F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Arial" w:hAnsi="Arial"/>
                <w:i/>
                <w:color w:val="2C3E50"/>
                <w:sz w:val="21"/>
              </w:rPr>
              <w:t>При оплате за год — скидка 20%. Enterprise: фиксированная цена 490 000 ₽/мес. независимо от количества бортов (от 500). При 1000 бортов = 490 ₽/борт/мес. Все цены с НДС.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5.3. Дополнительные услуги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Единица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Интеграция ERP/SCADA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Подключение к корпоративным системам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 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за 1 систему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Обучение персонала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Онлайн/очное обучение операторов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18 000 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за 1 чел.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Адаптер для БАС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Коннектор для нестандартного оборудования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180 000 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за 1 тип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Пилотный запуск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Развёртывание на 1 площадке, тестирование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320 000 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фикс.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Техподдержка 24/7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SLA 99.9%, выделенный менеджер, обновления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45 000 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мес./проект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White-label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Брендирование под логотип клиента (OEM)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 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фикс.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5.4. Калькулятор стоимости — примеры расчётов</w:t>
      </w:r>
    </w:p>
    <w:p>
      <w:pPr>
        <w:jc w:val="both"/>
      </w:pPr>
      <w:r>
        <w:rPr>
          <w:rFonts w:ascii="Arial" w:hAnsi="Arial"/>
          <w:color w:val="2C3E50"/>
          <w:sz w:val="21"/>
        </w:rPr>
        <w:t>Ниже — четыре сценария для разных масштабов парка. Интерактивный калькулятор доступен на findron.ru/services.</w:t>
      </w:r>
    </w:p>
    <w:p>
      <w:r>
        <w:rPr>
          <w:rFonts w:ascii="Arial" w:hAnsi="Arial"/>
          <w:b/>
          <w:color w:val="0D7C66"/>
          <w:sz w:val="18"/>
        </w:rPr>
        <w:t>СЦЕНАРИЙ 1: МАЛЫЙ ПАРК (10 БОРТОВ, ТАРИФ «СТАРТ»)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Подписка «Старт» (10 × 480₽ × 12 мес.)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5 760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57 600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Адаптер для DJI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Обучение операторов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54 000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Пилотный запуск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320 000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320 000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ИТОГО за 1-й год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611 600 ₽</w:t>
            </w:r>
          </w:p>
        </w:tc>
      </w:tr>
    </w:tbl>
    <w:p>
      <w:pPr>
        <w:jc w:val="both"/>
      </w:pPr>
      <w:r>
        <w:rPr>
          <w:rFonts w:ascii="Arial" w:hAnsi="Arial"/>
          <w:color w:val="2C3E50"/>
          <w:sz w:val="21"/>
        </w:rPr>
        <w:t>Стоимость на 1 борт в месяц: 5 097 ₽. Со 2-го года (только подписка): 57 600 ₽/год.</w:t>
      </w:r>
    </w:p>
    <w:p>
      <w:r>
        <w:rPr>
          <w:rFonts w:ascii="Arial" w:hAnsi="Arial"/>
          <w:b/>
          <w:color w:val="0D7C66"/>
          <w:sz w:val="18"/>
        </w:rPr>
        <w:t>СЦЕНАРИЙ 2: СРЕДНИЙ ПАРК (50 БОРТОВ, ТАРИФ «БИЗНЕС»)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Подписка «Бизнес» (50 × 890₽ × 12 мес.)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10 680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534 000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Скидка за годовую оплату (−20%)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−106 800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Интеграция с SCADA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Адаптеры (2 типа БАС)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360 000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Обучение операторов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144 000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Пилотный запуск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320 000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320 000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Техподдержка 12/7 (12 мес.)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12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45 000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540 000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ИТОГО за 1-й год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2 171 200 ₽</w:t>
            </w:r>
          </w:p>
        </w:tc>
      </w:tr>
    </w:tbl>
    <w:p>
      <w:pPr>
        <w:jc w:val="both"/>
      </w:pPr>
      <w:r>
        <w:rPr>
          <w:rFonts w:ascii="Arial" w:hAnsi="Arial"/>
          <w:color w:val="2C3E50"/>
          <w:sz w:val="21"/>
        </w:rPr>
        <w:t>Стоимость на 1 борт в месяц: 3 619 ₽. Со 2-го года: 967 200 ₽/год.</w:t>
      </w:r>
    </w:p>
    <w:p>
      <w:r>
        <w:rPr>
          <w:rFonts w:ascii="Arial" w:hAnsi="Arial"/>
          <w:b/>
          <w:color w:val="0D7C66"/>
          <w:sz w:val="18"/>
        </w:rPr>
        <w:t>СЦЕНАРИЙ 3: КРУПНЫЙ ПАРК (200 БОРТОВ, ТАРИФ «ПРЕМИУМ»)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Подписка «Премиум» (200 × 1 490₽ × 12)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17 880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3 576 000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Скидка за год (−20%)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−715 200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Скидка от 200 бортов (−10%)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−286 080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Интеграция ERP + SCADA + ГИС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1 140 000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Адаптеры (4 типа)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180 000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720 000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Обучение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25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450 000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Пилот (2 площадки)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320 000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640 000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Поддержка 24/7 (12 мес.)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12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45 000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540 000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White-label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ИТОГО за 1-й год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6 444 720 ₽</w:t>
            </w:r>
          </w:p>
        </w:tc>
      </w:tr>
    </w:tbl>
    <w:p>
      <w:pPr>
        <w:jc w:val="both"/>
      </w:pPr>
      <w:r>
        <w:rPr>
          <w:rFonts w:ascii="Arial" w:hAnsi="Arial"/>
          <w:color w:val="2C3E50"/>
          <w:sz w:val="21"/>
        </w:rPr>
        <w:t>Стоимость на 1 борт в месяц: 2 685 ₽. Экономия от скидок: 1 001 280 ₽ (−30%).</w:t>
      </w:r>
    </w:p>
    <w:p>
      <w:r>
        <w:rPr>
          <w:rFonts w:ascii="Arial" w:hAnsi="Arial"/>
          <w:b/>
          <w:color w:val="0D7C66"/>
          <w:sz w:val="18"/>
        </w:rPr>
        <w:t>СЦЕНАРИЙ 4: ENTERPRISE (750 БОРТОВ, ФИКСИРОВАННЫЙ ТАРИФ)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Enterprise подписка (490 000₽ × 12 мес.)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фикс.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490 000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5 880 000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Скидка за год (−20%)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−1 176 000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Интеграция 5 систем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1 900 000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Адаптеры (6 типов БАС)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1 080 000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Обучение + сертификация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900 000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Пилот (4 площадки)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320 000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1 280 000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Поддержка 24/7 + TAM (12 мес.)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12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65 000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780 000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White-label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380 000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Выделенная инфраструктура (3 ЦОД)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120 000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360 000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ИТОГО за 1-й год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11 384 000 ₽</w:t>
            </w:r>
          </w:p>
        </w:tc>
      </w:tr>
    </w:tbl>
    <w:p>
      <w:pPr>
        <w:jc w:val="both"/>
      </w:pPr>
      <w:r>
        <w:rPr>
          <w:rFonts w:ascii="Arial" w:hAnsi="Arial"/>
          <w:color w:val="2C3E50"/>
          <w:sz w:val="21"/>
        </w:rPr>
        <w:t>Стоимость на 1 борт в месяц: 1 265 ₽ — в 3.8× дешевле Премиума за счёт фиксированной цены. При росте парка с 500 до 1000+ бортов цена не меняется.</w:t>
      </w:r>
    </w:p>
    <w:p>
      <w:r>
        <w:rPr>
          <w:rFonts w:ascii="Arial" w:hAnsi="Arial"/>
          <w:b/>
          <w:color w:val="12A387"/>
          <w:sz w:val="26"/>
        </w:rPr>
        <w:t>5.5. Таргетирование типов клиентов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Тип клиента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Ключевая потребность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Модуль ФинДрон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Тариф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Кафе / ресторан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Доставка 2 км без курьера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Витрина + трекер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Старт: от 480₽/борт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Маркетплейс / e-com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Last-mile день-в-день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API + флот операторов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Бизнес: 890₽/борт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Фармацевтика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Срочная доставка (инсулин)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Приоритетная очередь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Премиум ×2.5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Строительная орг.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Инспекция, детали на объект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B2B API + геозона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Бизнес: 890₽/борт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Электросетевая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Инспекция ЛЭП без бригады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Телеметрия + тепловизор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Премиум: 1 490₽/борт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Банк / финтех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Доставка карт VIP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White-label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Enterprise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6. ПОКРЫТИЕ СИТУАЦИОННОГО ЦЕНТРА</w:t>
      </w:r>
    </w:p>
    <w:p>
      <w:pPr>
        <w:spacing w:after="160"/>
        <w:pBdr>
          <w:bottom w:val="single" w:sz="12" w:color="0D7C66" w:space="1"/>
        </w:pBdr>
      </w:pPr>
    </w:p>
    <w:p>
      <w:pPr>
        <w:jc w:val="both"/>
      </w:pPr>
      <w:r>
        <w:rPr>
          <w:rFonts w:ascii="Arial" w:hAnsi="Arial"/>
          <w:color w:val="2C3E50"/>
          <w:sz w:val="21"/>
        </w:rPr>
        <w:t>По оценке команды, ~82% функций ситуационного центра Иннополиса обеспечиваются модулями ФинДрон HUB.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Модуль ситуац. центра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Покрытие HUB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Вне платформы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Мониторинг и контроль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Позиции, статусы, маршруты, телеметрия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95%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CCTV-камеры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Управление и реагирование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Дистанц. управление, координация бригад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75%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АСУДД светофоров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Безопасность и инциденты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Анализ видео, кибербез, журналирование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70%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SIEM, МЧС канал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Аналитика и поддержка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Big Data, предиктивное ТО, KPI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90%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ML-модели спроса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ИТОГО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~82%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~18% доработка</w:t>
            </w:r>
          </w:p>
        </w:tc>
      </w:tr>
    </w:tbl>
    <w:p>
      <w:r>
        <w:rPr>
          <w:rFonts w:ascii="Arial" w:hAnsi="Arial"/>
          <w:b/>
          <w:color w:val="0D7C66"/>
          <w:sz w:val="36"/>
        </w:rPr>
        <w:t>7. ИНФОРМАЦИОННАЯ БЕЗОПАСНОСТЬ</w:t>
      </w:r>
    </w:p>
    <w:p>
      <w:pPr>
        <w:spacing w:after="160"/>
        <w:pBdr>
          <w:bottom w:val="single" w:sz="12" w:color="0D7C66" w:space="1"/>
        </w:pBdr>
      </w:pPr>
    </w:p>
    <w:p>
      <w:r>
        <w:rPr>
          <w:rFonts w:ascii="Arial" w:hAnsi="Arial"/>
          <w:b/>
          <w:color w:val="12A387"/>
          <w:sz w:val="26"/>
        </w:rPr>
        <w:t>7.1. Ключевые требования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ФЗ-152: все ПДн хранятся в РФ (Edge + Атомдата). Срок — 3 года, автоудаление.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Сквозное шифрование: TLS 1.3 (API), AES-256 (хранение), DTLS (C2 link).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IAM + MFA: роли Dispatcher / Operator / Admin / Regulator (read-only).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SIEM: интеграция с городским контуром ИБ. Хранение событий 1 год.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Цифровые двойники безопасности: аномалии телеметрии &gt; порог → алерт.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Пентесты: ежеквартально, внешний подрядчик, результаты — муниципалитету.</w:t>
      </w:r>
    </w:p>
    <w:p>
      <w:r>
        <w:rPr>
          <w:rFonts w:ascii="Arial" w:hAnsi="Arial"/>
          <w:b/>
          <w:color w:val="12A387"/>
          <w:sz w:val="26"/>
        </w:rPr>
        <w:t>7.2. Модель угроз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Угроза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Мера защиты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Остаточный риск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Перехват C2 link (спуфинг GPS)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Средняя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DTLS, сертификат борта, RTK cross-check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Низкий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DDoS на API-шлюз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Высокая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WAF + CDN, rate limiting, geo-blocking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Низкий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Несанкц. доступ к панели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Средняя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MFA, IP-whitelist, токены 8ч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Минимальный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Физический взлом борта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Низкая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Тампер-сенсоры, TPM, remote wipe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Низкий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Утечка ПДн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Низкая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Минимизация данных, pseudonymization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Минимальный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Отказ ЦОД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Низкая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Гео-резерв 2 ЦОД, RPO&lt;1 мин, RTO&lt;5 мин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Минимальный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8. ПЛАН ТЕХНИЧЕСКОЙ РЕАЛИЗАЦИИ</w:t>
      </w:r>
    </w:p>
    <w:p>
      <w:pPr>
        <w:spacing w:after="160"/>
        <w:pBdr>
          <w:bottom w:val="single" w:sz="12" w:color="0D7C66" w:space="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Задачи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CAPEX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0. Подготовка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Нед. 0–2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Аудит 5G/4G, обследование площадок, согласование API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1. Проектирование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Нед. 2–6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Архитектура Edge/ЦОД, ТЗ на интеграции, договор Атомдата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1–2 млн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2. Инфраструктура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Нед. 6–14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 Edge-узла, LoRaWAN, подключение ЦОД, 3 тестовых борта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6–8 млн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3. Интеграции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Нед. 10–18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ФГИС ИВП, Яндекс Go, АСУДД, ЕДДС-112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3–4 млн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4. Витрина MVP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Нед. 14–22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Приложение агрегатора, 3–5 пилотных клиентов, постаматы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2–3 млн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5. Пилот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Нед. 22–30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20 дронов + ситуационный центр + первые заказы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~2 млн OPEX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6. Масштабирование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После 30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Новые операторы, география, тарифная модель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10–14 млн/год</w:t>
            </w:r>
          </w:p>
        </w:tc>
      </w:tr>
    </w:tbl>
    <w:p>
      <w:r>
        <w:rPr>
          <w:rFonts w:ascii="Arial" w:hAnsi="Arial"/>
          <w:b/>
          <w:color w:val="0D7C66"/>
          <w:sz w:val="36"/>
        </w:rPr>
        <w:t>9. ФИНАНСОВОЕ РЕЗЮМЕ</w:t>
      </w:r>
    </w:p>
    <w:p>
      <w:pPr>
        <w:spacing w:after="160"/>
        <w:pBdr>
          <w:bottom w:val="single" w:sz="12" w:color="0D7C66" w:space="1"/>
        </w:pBdr>
      </w:pPr>
    </w:p>
    <w:p>
      <w:r>
        <w:rPr>
          <w:rFonts w:ascii="Arial" w:hAnsi="Arial"/>
          <w:b/>
          <w:color w:val="12A387"/>
          <w:sz w:val="26"/>
        </w:rPr>
        <w:t>9.1. Бюджет технической инфраструктуры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Мин. (A)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Базовый (B)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Edge-узлы (3 шт.)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4.5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6.0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Jetson AGX Orin + сетевое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LoRaWAN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1.2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2.0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8–12 gateway + датчики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Wi-Fi 6E (площадки)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0.6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1.2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2–3 AP на площадку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RTK-базовые станции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1.0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1.5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Покрытие территории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ЦОД Атомдата (1 год)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6.0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8.0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Compute + Storage + 10 Гбит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Разработка интеграций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2.0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4.0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Яндекс Go, АСУДД, ЕДДС, ФГИС ИВП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MVP витрины-агрегатора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2.0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3.5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Веб + мобильное (iOS/Android)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ИБ: SIEM, аудит, пентест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0.8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1.5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 год + квартальный пентест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ИТОГО CAPEX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18.1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27.7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OPEX/год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10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14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Связь + поддержка + лицензии</w:t>
            </w:r>
          </w:p>
        </w:tc>
      </w:tr>
    </w:tbl>
    <w:p>
      <w:r>
        <w:rPr>
          <w:rFonts w:ascii="Arial" w:hAnsi="Arial"/>
          <w:b/>
          <w:color w:val="12A387"/>
          <w:sz w:val="26"/>
        </w:rPr>
        <w:t>9.2. Прогноз окупаемости витрины-агрегатора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Год 1 (пилот)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Год 2</w:t>
            </w:r>
          </w:p>
        </w:tc>
        <w:tc>
          <w:tcPr>
            <w:tcW w:type="dxa" w:w="2493"/>
            <w:shd w:fill="0D7C6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Год 3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Клиентов на платформе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5–10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30–50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80–150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ARPU, тыс. руб./мес.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25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40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55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Выручка агрегатора,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1.5–3.0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14.4–24.0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52.8–99.0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OPEX платформы, млн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14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16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18</w:t>
            </w:r>
          </w:p>
        </w:tc>
      </w:tr>
      <w:tr>
        <w:tc>
          <w:tcPr>
            <w:tcW w:type="dxa" w:w="2493"/>
            <w:shd w:fill="E8F8F5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Операц. результат, млн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−11 … −13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−2 … +8</w:t>
            </w:r>
          </w:p>
        </w:tc>
        <w:tc>
          <w:tcPr>
            <w:tcW w:type="dxa" w:w="2493"/>
            <w:shd w:fill="E8F8F5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+35 … +81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2C3E50"/>
                <w:sz w:val="18"/>
              </w:rPr>
              <w:t>Безубыточность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—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При 30+ клиентах</w:t>
            </w:r>
          </w:p>
        </w:tc>
        <w:tc>
          <w:tcPr>
            <w:tcW w:type="dxa" w:w="2493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2C3E50"/>
                <w:sz w:val="18"/>
              </w:rPr>
              <w:t>Уверенно +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D7C66"/>
          <w:sz w:val="36"/>
        </w:rPr>
        <w:t>10. КЛЮЧЕВЫЕ ВЫВОДЫ И СЛЕДУЮЩИЕ ШАГИ</w:t>
      </w:r>
    </w:p>
    <w:p>
      <w:pPr>
        <w:spacing w:after="160"/>
        <w:pBdr>
          <w:bottom w:val="single" w:sz="12" w:color="0D7C66" w:space="1"/>
        </w:pBdr>
      </w:pPr>
    </w:p>
    <w:p>
      <w:pPr>
        <w:jc w:val="both"/>
      </w:pPr>
      <w:r>
        <w:rPr>
          <w:rFonts w:ascii="Arial" w:hAnsi="Arial"/>
          <w:color w:val="2C3E50"/>
          <w:sz w:val="21"/>
        </w:rPr>
        <w:t>Техническая архитектура платформы ФинДрон для пилота в Иннополисе строится на трёх принципах: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Asset-light инфраструктура: гибридный ЦОД (Edge + аренда Атомдата) вместо собственного дата-центра — экономия 30–60 млн руб. CAPEX при сохранении latency &lt;8 мс.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Многоуровневая телеметрия: 5G/4G как основной канал + LoRaWAN для IoT + Wi-Fi/UWB для точных манёвров = 99.5%+ доступность связи без единой точки отказа.</w:t>
      </w:r>
    </w:p>
    <w:p>
      <w:pPr>
        <w:pStyle w:val="ListBullet"/>
      </w:pPr>
      <w:r>
        <w:rPr>
          <w:rFonts w:ascii="Arial" w:hAnsi="Arial"/>
          <w:color w:val="2C3E50"/>
          <w:sz w:val="21"/>
        </w:rPr>
        <w:t>Агрегаторная модель: платформа «Яндекс Go для дронов» — малые клиенты получают доставку по подписке без CAPEX на собственный парк. 4 тарифных плана от 480 до 490 000 ₽/мес.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"/>
            <w:shd w:fill="0D7C66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9468"/>
            <w:shd w:fill="E8F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Arial" w:hAnsi="Arial"/>
                <w:i/>
                <w:color w:val="2C3E50"/>
                <w:sz w:val="21"/>
              </w:rPr>
              <w:t>Следующие шаги:</w:t>
              <w:br/>
              <w:br/>
              <w:t>① Инициировать переговоры с Атомдата-Иннополис по SLA и стоимости аренды ЦОД.</w:t>
              <w:br/>
              <w:br/>
              <w:t>② Запросить API-документацию у команды Яндекс Go и муниципалитета по АСУДД светофоров.</w:t>
              <w:br/>
              <w:br/>
              <w:t>③ Подготовить ТЗ на MVP витрины-агрегатора (архитектура, стек, подрядчик).</w:t>
              <w:br/>
              <w:br/>
              <w:t>④ Уточнить CAPEX сценарий B в разбивке по статьям для включения в итоговое КП.</w:t>
            </w:r>
          </w:p>
        </w:tc>
      </w:tr>
    </w:tbl>
    <w:p/>
    <w:p>
      <w:pPr>
        <w:jc w:val="center"/>
      </w:pPr>
      <w:r>
        <w:rPr>
          <w:rFonts w:ascii="Arial" w:hAnsi="Arial"/>
          <w:color w:val="5D6D7E"/>
          <w:sz w:val="18"/>
        </w:rPr>
        <w:t>© 2026 ФинДрон. Конфиденциально. Все права защищены.</w:t>
      </w:r>
    </w:p>
    <w:p>
      <w:pPr>
        <w:jc w:val="center"/>
      </w:pPr>
      <w:r>
        <w:rPr>
          <w:rFonts w:ascii="Arial" w:hAnsi="Arial"/>
          <w:color w:val="12A387"/>
          <w:sz w:val="18"/>
        </w:rPr>
        <w:t>findron.ru  |  info@findron.ru  |  +7 (995) 153-83-50  |  Telegram: @egorcoold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