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373"/>
        <w:gridCol w:w="2409"/>
      </w:tblGrid>
      <w:t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before="300" w:after="0"/>
      </w:pPr>
    </w:p>
    <w:p>
      <w:pPr>
        <w:spacing w:after="0"/>
        <w:jc w:val="left"/>
      </w:pPr>
      <w:r>
        <w:drawing>
          <wp:inline distT="0" distB="0" distL="0" distR="0">
            <wp:extent cx="2667000" cy="2667000"/>
            <wp:effectExtent t="0" r="0" b="0" l="0"/>
            <wp:docPr id="1" name="findron-logo" descr="Логотип ФинДрон" title="ФинДр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CC71" w:sz="8" w:space="8"/>
        </w:pBdr>
        <w:spacing w:before="80" w:after="0"/>
        <w:jc w:val="left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IT-агрегатор решений для беспилотных авиационных систем</w:t>
      </w:r>
    </w:p>
    <w:p>
      <w:pPr>
        <w:spacing w:before="400" w:after="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pacing w:val="120"/>
          <w:sz w:val="32"/>
          <w:szCs w:val="32"/>
        </w:rPr>
        <w:t xml:space="preserve">КОРПОРАТИВНЫЙ ПРОФИЛЬ</w:t>
      </w:r>
    </w:p>
    <w:p>
      <w:pPr>
        <w:spacing w:before="2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🤝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36"/>
                <w:szCs w:val="36"/>
              </w:rPr>
              <w:t xml:space="preserve">150+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клиентов</w:t>
            </w:r>
          </w:p>
        </w:tc>
        <w:tc>
          <w:tcPr>
            <w:tcW w:type="dxa" w:w="2409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🧩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36"/>
                <w:szCs w:val="36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интегрированных решений</w:t>
            </w:r>
          </w:p>
        </w:tc>
        <w:tc>
          <w:tcPr>
            <w:tcW w:type="dxa" w:w="2409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🚀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5 лет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на рынке БАС</w:t>
            </w:r>
          </w:p>
        </w:tc>
        <w:tc>
          <w:tcPr>
            <w:tcW w:type="dxa" w:w="2409"/>
            <w:tcBorders>
              <w:top w:val="single" w:color="1ABC9C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👥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120+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специалистов</w:t>
            </w:r>
          </w:p>
        </w:tc>
      </w:tr>
    </w:tbl>
    <w:p>
      <w:pPr>
        <w:spacing w:before="400" w:after="0"/>
      </w:pPr>
    </w:p>
    <w:p>
      <w:pPr>
        <w:jc w:val="left"/>
      </w:pPr>
      <w:r>
        <w:rPr>
          <w:rFonts w:ascii="Arial" w:cs="Arial" w:eastAsia="Arial" w:hAnsi="Arial"/>
          <w:color w:val="12A387"/>
          <w:sz w:val="22"/>
          <w:szCs w:val="22"/>
        </w:rPr>
        <w:t xml:space="preserve">findron.ru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|  info@findron.ru  |  +7 (995) 153-83-50</w:t>
      </w:r>
    </w:p>
    <w:p>
      <w:pPr>
        <w:spacing w:before="60"/>
        <w:jc w:val="left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Москва, 2026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О КОМПАНИИ ФИНДРОН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Единое окно для управления беспилотными системами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ФинДрон — российская IT-компания, специализирующаяся на агрегации, поставке и интеграции программных решений для беспилотных авиационных систем (БАС). Основанная в 2021 году, компания за короткий срок стала одним из ведущих интеграторов ПО для управления, мониторинга и нормализации работы беспилотных дронов.</w:t>
      </w:r>
    </w:p>
    <w:p>
      <w:pPr>
        <w:spacing w:before="60" w:after="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Мы не разрабатываем программное обеспечение с нуля — мы подбираем, адаптируем и объединяем лучшие решения от проверенных вендоров в единую экосистему, подходящую под конкретные задачи клиента.</w:t>
      </w:r>
    </w:p>
    <w:p>
      <w:pPr>
        <w:spacing w:before="15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Миссия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Сделать управление беспилотными системами доступным, безопасным и эффективным для бизнеса любого масштаба.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Позиционирование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Vendor-agnostic интегратор: мы работаем с широким спектром производителей ПО и оборудования, предлагая оптимальное сочетание решений.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ГЕОГРАФИЯ И МАСШТАБ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36"/>
                <w:szCs w:val="36"/>
              </w:rPr>
              <w:t xml:space="preserve">150+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клиентов в 12 регионах РФ</w:t>
            </w:r>
          </w:p>
        </w:tc>
        <w:tc>
          <w:tcPr>
            <w:tcW w:type="dxa" w:w="2409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36"/>
                <w:szCs w:val="36"/>
              </w:rPr>
              <w:t xml:space="preserve">120+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сотрудников в штате</w:t>
            </w:r>
          </w:p>
        </w:tc>
        <w:tc>
          <w:tcPr>
            <w:tcW w:type="dxa" w:w="2409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интегрированных решений</w:t>
            </w:r>
          </w:p>
        </w:tc>
        <w:tc>
          <w:tcPr>
            <w:tcW w:type="dxa" w:w="2409"/>
            <w:tcBorders>
              <w:top w:val="single" w:color="1ABC9C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завершённых проектов</w:t>
            </w:r>
          </w:p>
        </w:tc>
      </w:tr>
    </w:tbl>
    <w:p>
      <w:pPr>
        <w:spacing w:before="150" w:after="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Распределение проектов по федеральным округам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0"/>
        <w:gridCol w:w="1734"/>
        <w:gridCol w:w="1445"/>
        <w:gridCol w:w="1255"/>
      </w:tblGrid>
      <w:tr>
        <w:tc>
          <w:tcPr>
            <w:tcW w:type="dxa" w:w="3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0"/>
        <w:gridCol w:w="1734"/>
        <w:gridCol w:w="1445"/>
        <w:gridCol w:w="1255"/>
      </w:tblGrid>
      <w:tr>
        <w:tc>
          <w:tcPr>
            <w:tcW w:type="dxa" w:w="3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32%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ЦФО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20"/>
                <w:szCs w:val="20"/>
              </w:rPr>
              <w:t xml:space="preserve">22%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ПФО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18%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СФО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ЮФО</w:t>
            </w:r>
          </w:p>
        </w:tc>
        <w:tc>
          <w:tcPr>
            <w:tcW w:type="dxa" w:w="1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13%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Прочие</w:t>
            </w:r>
          </w:p>
        </w:tc>
      </w:tr>
    </w:tbl>
    <w:p>
      <w:pPr>
        <w:spacing w:before="100" w:after="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Головной офис расположен в Москве. Представительства — в Санкт-Петербурге, Казани, Новосибирске и Краснодаре. Компания является участником национального проекта «Беспилотные авиационные системы» и резидентом технопарка «Сколково».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РЫНОК БАС В РОССИИ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Взрывной рост и нарастающие инфраструктурные вызовы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Российский рынок беспилотных авиационных систем — один из самых быстрорастущих технологических секторов. Национальный проект «БАС» и расширение гражданских применений формируют устойчивый спрос на ПО для управления дронами.</w:t>
      </w:r>
    </w:p>
    <w:p>
      <w:pPr>
        <w:spacing w:before="15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ДИНАМИКА РЫНКА БАС В РОССИИ</w:t>
      </w:r>
    </w:p>
    <w:p>
      <w:pPr>
        <w:spacing w:before="12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Объём рынка БАС, млрд 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019"/>
        <w:gridCol w:w="4419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2022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5A5A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14 млрд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2023</w:t>
            </w:r>
          </w:p>
        </w:tc>
        <w:tc>
          <w:tcPr>
            <w:tcW w:type="dxa" w:w="3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4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178 млрд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2024</w:t>
            </w:r>
          </w:p>
        </w:tc>
        <w:tc>
          <w:tcPr>
            <w:tcW w:type="dxa" w:w="4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9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2A387"/>
                <w:sz w:val="18"/>
                <w:szCs w:val="18"/>
              </w:rPr>
              <w:t xml:space="preserve">250 млрд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2025 (п)</w:t>
            </w:r>
          </w:p>
        </w:tc>
        <w:tc>
          <w:tcPr>
            <w:tcW w:type="dxa" w:w="5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336 млрд</w:t>
            </w:r>
          </w:p>
        </w:tc>
      </w:tr>
    </w:tbl>
    <w:p>
      <w:pPr>
        <w:spacing w:before="2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36"/>
                <w:szCs w:val="36"/>
              </w:rPr>
              <w:t xml:space="preserve">250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млрд ₽ — рынок в 2024</w:t>
            </w:r>
          </w:p>
        </w:tc>
        <w:tc>
          <w:tcPr>
            <w:tcW w:type="dxa" w:w="2409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36"/>
                <w:szCs w:val="36"/>
              </w:rPr>
              <w:t xml:space="preserve">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доля в мировом рынке</w:t>
            </w:r>
          </w:p>
        </w:tc>
        <w:tc>
          <w:tcPr>
            <w:tcW w:type="dxa" w:w="2409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27%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ежегодный рост</w:t>
            </w:r>
          </w:p>
        </w:tc>
        <w:tc>
          <w:tcPr>
            <w:tcW w:type="dxa" w:w="2409"/>
            <w:tcBorders>
              <w:top w:val="single" w:color="1ABC9C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696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млрд ₽ — нацпроект до 2030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СТРУКТУРА РЫНКА ПО СЕГМЕНТАМ (2024)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4"/>
        <w:gridCol w:w="1445"/>
        <w:gridCol w:w="963"/>
        <w:gridCol w:w="966"/>
      </w:tblGrid>
      <w:tr>
        <w:tc>
          <w:tcPr>
            <w:tcW w:type="dxa" w:w="62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4"/>
        <w:gridCol w:w="1445"/>
        <w:gridCol w:w="963"/>
        <w:gridCol w:w="966"/>
      </w:tblGrid>
      <w:tr>
        <w:tc>
          <w:tcPr>
            <w:tcW w:type="dxa" w:w="62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65%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ГОЗ / оборона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20"/>
                <w:szCs w:val="20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Мониторинг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10%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Сельское хоз-во</w:t>
            </w:r>
          </w:p>
        </w:tc>
        <w:tc>
          <w:tcPr>
            <w:tcW w:type="dxa" w:w="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10%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Прочие гражд.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E74C3C"/>
          <w:spacing w:val="60"/>
          <w:sz w:val="18"/>
          <w:szCs w:val="18"/>
        </w:rPr>
        <w:t xml:space="preserve">КЛЮЧЕВЫЕ ПРОБЛЕМЫ ЭКСПЛУАТАНТОВ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⚠️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Зоопарк ПО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3–5 разных систем одновременно. Нет единого интерфейса управления парком.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📊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Нет центра управления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Потеря контроля над полётами и оборудованием при масштабировании флота.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Регуляторные барьеры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20+ регионов с НПЦ к 2025 г. Требования ужесточаются, автоматизация соответствия критична.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Высокие OPEX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Содержание разрозненных систем, обучение, ручной мониторинг — до 35% перерасхода.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ПОЧЕМУ ФИНДРОН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Агрегаторная модель vs. традиционный вендор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ФинДрон не привязывает клиента к единственному производителю. Мы подбираем оптимальную комбинацию решений, исходя из задач, масштаба парка и отраслевой специфики.</w:t>
      </w:r>
    </w:p>
    <w:p>
      <w:pPr>
        <w:spacing w:before="15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✔  Vendor-agnostic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Лучшие решения рынка, не привязка к одному поставщику.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✔  Единое окно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Один договор, один интегратор, одна точка ответственности.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✔  Быстрое внедрение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Средний срок запуска — от 4 недель. Готовые модули и апробированные сценарии.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✔  Масштабируемость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От 5 до 500+ единиц техники без перестройки системы.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СРАВНЕНИЕ ПОДХОДОВ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180"/>
        <w:gridCol w:w="3180"/>
      </w:tblGrid>
      <w:tr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Один вендор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ФинДрон ✔</w:t>
            </w:r>
          </w:p>
        </w:tc>
      </w:tr>
      <w:tr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Гибкость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Только свои продукты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Лучшие решения рынка</w:t>
            </w:r>
          </w:p>
        </w:tc>
      </w:tr>
      <w:tr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Зависимость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Высокая (lock-in)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Минимальная</w:t>
            </w:r>
          </w:p>
        </w:tc>
      </w:tr>
      <w:tr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Срок внедрения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8–16 недель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4–8 недель</w:t>
            </w:r>
          </w:p>
        </w:tc>
      </w:tr>
      <w:tr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Масштабирование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Ограничено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Неограничено</w:t>
            </w:r>
          </w:p>
        </w:tc>
      </w:tr>
      <w:tr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Стоимость владения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На 20–40% ниже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ЭКОНОМИЯ СТОИМОСТИ ВЛАДЕНИЯ (TCO)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Сравнение TCO за 3 года (базис = 100%)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5A5A6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Традиционный вендор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Экономия с ФинДрон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ЭКОСИСТЕМА РЕШЕНИЙ ФИНДРОН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Модульная платформа для полного цикла эксплуатации БАС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Продуктовый портфель охватывает все ключевые аспекты управления БАС. Каждый модуль внедряется отдельно или в составе комплексного решения.</w:t>
      </w:r>
    </w:p>
    <w:p>
      <w:pPr>
        <w:spacing w:before="15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АРХИТЕКТУРА ФИНДРОН 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481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819"/>
            <w:tcBorders>
              <w:top w:val="single" w:color="0D7C66" w:sz="4"/>
              <w:left w:val="single" w:color="0D7C66" w:sz="4"/>
              <w:bottom w:val="single" w:color="0D7C66" w:sz="4"/>
              <w:right w:val="single" w:color="0D7C66" w:sz="4"/>
            </w:tcBorders>
            <w:shd w:fill="0D7C6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🔗  ФИНДРОН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F5E3"/>
                <w:sz w:val="20"/>
                <w:szCs w:val="20"/>
              </w:rPr>
              <w:t xml:space="preserve">Единая панель управления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2ECC71"/>
          <w:sz w:val="24"/>
          <w:szCs w:val="24"/>
        </w:rPr>
        <w:t xml:space="preserve">▼     ▼     ▼     ▼     ▼     ▼</w:t>
      </w:r>
    </w:p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🛩️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Управление
полётами</w:t>
            </w:r>
          </w:p>
        </w:tc>
        <w:tc>
          <w:tcPr>
            <w:tcW w:type="dxa" w:w="3212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📡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Мониторинг и
телеметрия</w:t>
            </w:r>
          </w:p>
        </w:tc>
        <w:tc>
          <w:tcPr>
            <w:tcW w:type="dxa" w:w="3212"/>
            <w:tcBorders>
              <w:top w:val="single" w:color="2ECC71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🔄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Нормализация
данных</w:t>
            </w:r>
          </w:p>
        </w:tc>
      </w:tr>
      <w:tr>
        <w:tc>
          <w:tcPr>
            <w:tcW w:type="dxa" w:w="3212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🛡️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Отказо-
устойчивость</w:t>
            </w:r>
          </w:p>
        </w:tc>
        <w:tc>
          <w:tcPr>
            <w:tcW w:type="dxa" w:w="3212"/>
            <w:tcBorders>
              <w:top w:val="single" w:color="1ABC9C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📊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Аналитика и
отчётность</w:t>
            </w:r>
          </w:p>
        </w:tc>
        <w:tc>
          <w:tcPr>
            <w:tcW w:type="dxa" w:w="3212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🔐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Безопасность и
комплаенс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СОВМЕСТИМОСТЬ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Поддерживаемые платформы дронов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7"/>
        <w:gridCol w:w="1734"/>
        <w:gridCol w:w="1927"/>
        <w:gridCol w:w="1159"/>
      </w:tblGrid>
      <w:tr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7"/>
        <w:gridCol w:w="1734"/>
        <w:gridCol w:w="1927"/>
        <w:gridCol w:w="1159"/>
      </w:tblGrid>
      <w:tr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DJI Enterprise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20"/>
                <w:szCs w:val="20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Геоскан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18%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Supercam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MAVLink (откр.)</w:t>
            </w:r>
          </w:p>
        </w:tc>
        <w:tc>
          <w:tcPr>
            <w:tcW w:type="dxa" w:w="1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12%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Прочие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ЦЕНТРАЛИЗОВАННОЕ УПРАВЛЕНИЕ ПОЛЁТАМИ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Полный контроль над флотом из одного интерфейса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Модуль управления полётами — ядро экосистемы ФинДрон. Оператор планирует, запускает и контролирует миссии всего парка через единый веб-интерфейс или мобильное приложение.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КЛЮЧЕВЫЕ ВОЗМОЖНОСТИ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Планирование маршрутов с учётом зон ограничений, рельефа и метеоусловий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Координация нескольких бортов на одной миссии с автоматическим распределением зон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Управление в реальном времени: корректировка маршрута, экстренный возврат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Автоматические сценарии: патрулирование, облёт периметра, мониторинг по расписанию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Поддержка протоколов MAVLink, DJI SDK и проприетарных через адаптеры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Интеграция с ФГИС ИВП для автоматической подачи планов полётов</w:t>
      </w:r>
    </w:p>
    <w:p>
      <w:pPr>
        <w:spacing w:before="15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ИНТЕРФЕЙС ФИНДРОН HUB</w:t>
      </w:r>
    </w:p>
    <w:p>
      <w:pPr>
        <w:spacing w:before="60" w:after="60"/>
        <w:jc w:val="center"/>
      </w:pPr>
      <w:r>
        <w:drawing>
          <wp:inline distT="0" distB="0" distL="0" distR="0">
            <wp:extent cx="6477000" cy="3190875"/>
            <wp:effectExtent t="0" r="0" b="0" l="0"/>
            <wp:docPr id="1" name="hub-screenshot" descr="Интерфейс центра управления полётами" title="ФинДрон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РЕЗУЛЬТАТЫ ВНЕДРЕНИЯ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⏱️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36"/>
                <w:szCs w:val="36"/>
              </w:rPr>
              <w:t xml:space="preserve">–45%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времени на планирование</w:t>
            </w:r>
          </w:p>
        </w:tc>
        <w:tc>
          <w:tcPr>
            <w:tcW w:type="dxa" w:w="3212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📈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36"/>
                <w:szCs w:val="36"/>
              </w:rPr>
              <w:t xml:space="preserve">+60%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утилизации парка БАС</w:t>
            </w:r>
          </w:p>
        </w:tc>
        <w:tc>
          <w:tcPr>
            <w:tcW w:type="dxa" w:w="3212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✅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99.7%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успешных миссий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МОНИТОРИНГ И ТЕЛЕМЕТРИЯ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Полная видимость состояния каждого борта в реальном времени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Модуль обеспечивает непрерывное отслеживание всех параметров БВС: от координат и высоты до температуры батареи и состояния моторов. Данные визуализируются на интерактивных дашбордах.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ЧТО ОТСЛЕЖИВАЕТСЯ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GPS-координаты, высота, скорость, курс — обновление каждые 0.5 сек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Заряд АКБ, напряжение ячеек, температура, прогноз оставшегося времени полёта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Состояние моторов, вибрации, акселерометр и гироскоп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Качество C2 link: задержки, потери пакетов, уровень сигнала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Статус полезной нагрузки: камеры, лидары, мультиспектральные сенсоры</w:t>
      </w:r>
    </w:p>
    <w:p>
      <w:pPr>
        <w:spacing w:before="15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ПРИМЕР ДАШБОРДА МОНИТОРИНГА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2ECC71" w:sz="6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BDC3C7"/>
                <w:sz w:val="14"/>
                <w:szCs w:val="14"/>
              </w:rPr>
              <w:t xml:space="preserve">БОРТ #12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● В ПОЛЁТЕ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87% • 42 мин</w:t>
            </w:r>
          </w:p>
        </w:tc>
        <w:tc>
          <w:tcPr>
            <w:tcW w:type="dxa" w:w="2409"/>
            <w:tcBorders>
              <w:top w:val="single" w:color="2ECC71" w:sz="6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BDC3C7"/>
                <w:sz w:val="14"/>
                <w:szCs w:val="14"/>
              </w:rPr>
              <w:t xml:space="preserve">БОРТ #07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● В ПОЛЁТЕ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63% • 28 мин</w:t>
            </w:r>
          </w:p>
        </w:tc>
        <w:tc>
          <w:tcPr>
            <w:tcW w:type="dxa" w:w="2409"/>
            <w:tcBorders>
              <w:top w:val="single" w:color="E67E22" w:sz="6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BDC3C7"/>
                <w:sz w:val="14"/>
                <w:szCs w:val="14"/>
              </w:rPr>
              <w:t xml:space="preserve">БОРТ #03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● ВОЗВРАТ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21% • 8 мин</w:t>
            </w:r>
          </w:p>
        </w:tc>
        <w:tc>
          <w:tcPr>
            <w:tcW w:type="dxa" w:w="2409"/>
            <w:tcBorders>
              <w:top w:val="single" w:color="95A5A6" w:sz="6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BDC3C7"/>
                <w:sz w:val="14"/>
                <w:szCs w:val="14"/>
              </w:rPr>
              <w:t xml:space="preserve">БОРТ #15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6"/>
                <w:szCs w:val="16"/>
              </w:rPr>
              <w:t xml:space="preserve">● НА БАЗЕ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100% • Заряжен</w:t>
            </w:r>
          </w:p>
        </w:tc>
      </w:tr>
    </w:tbl>
    <w:p>
      <w:pPr>
        <w:spacing w:before="15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СИСТЕМА АЛЕРТОВ</w:t>
      </w: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Настраиваемые пороговые значения для любого параметра. При отклонении — мгновенное уведомление через интерфейс, SMS, Telegram или email. Критические алерты инициируют автоматические защитные сценарии.</w:t>
      </w:r>
    </w:p>
    <w:p>
      <w:pPr>
        <w:spacing w:before="60" w:after="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Телеметрия хранится до 5 лет для анализа, расследования инцидентов и отчётности перед регулятором.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НОРМАЛИЗАЦИЯ И ОТКАЗОУСТОЙЧИВОСТЬ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Надёжность на уровне промышленных систем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Модуль нормализации решает проблему разнородности данных и протоколов от разных производителей. ФинДрон приводит всю информацию к единому формату, обеспечивая бесшовную работу гетерогенного парка.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НОРМАЛИЗАЦИЯ ДАННЫХ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Единый формат телеметрии для дронов разных производителей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API-шлюз для интеграции с ERP, SCADA, ГИС и корпоративными системами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ETL-конвейеры для автоматической обработки и очистки данных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Поддержка: REST API, MQTT, WebSocket, MAVLink</w:t>
      </w:r>
    </w:p>
    <w:p>
      <w:pPr>
        <w:spacing w:before="15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ОТКАЗОУСТОЙЧИВОСТЬ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Резервирование каналов: 4G/LTE + спутник + радиоканал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Автопереключение на резервный канал &lt; 2 сек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Автономное поведение при потере связи: завершение миссии, возврат, посадка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Географическое резервирование: 2 ЦОД, RPO &lt; 1 мин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SLA 99.9% на доступность платформы</w:t>
      </w:r>
    </w:p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АРХИТЕКТУРА ОТКАЗОУСТОЙЧИВОСТИ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✅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36"/>
                <w:szCs w:val="36"/>
              </w:rPr>
              <w:t xml:space="preserve">99.9%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uptime платформы</w:t>
            </w:r>
          </w:p>
        </w:tc>
        <w:tc>
          <w:tcPr>
            <w:tcW w:type="dxa" w:w="2409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⚡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36"/>
                <w:szCs w:val="36"/>
              </w:rPr>
              <w:t xml:space="preserve">&lt;2 сек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переключение канала</w:t>
            </w:r>
          </w:p>
        </w:tc>
        <w:tc>
          <w:tcPr>
            <w:tcW w:type="dxa" w:w="2409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📡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резервных канала связи</w:t>
            </w:r>
          </w:p>
        </w:tc>
        <w:tc>
          <w:tcPr>
            <w:tcW w:type="dxa" w:w="2409"/>
            <w:tcBorders>
              <w:top w:val="single" w:color="1ABC9C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🏢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ЦОД (гео-резерв)</w:t>
            </w:r>
          </w:p>
        </w:tc>
      </w:tr>
    </w:tbl>
    <w:p>
      <w:pPr>
        <w:spacing w:before="2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963"/>
        <w:gridCol w:w="1927"/>
        <w:gridCol w:w="963"/>
        <w:gridCol w:w="1927"/>
        <w:gridCol w:w="963"/>
        <w:gridCol w:w="963"/>
      </w:tblGrid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Дроны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CC71"/>
                <w:sz w:val="22"/>
                <w:szCs w:val="22"/>
              </w:rPr>
              <w:t xml:space="preserve">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Нормализация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CC71"/>
                <w:sz w:val="22"/>
                <w:szCs w:val="22"/>
              </w:rPr>
              <w:t xml:space="preserve">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ФинДрон HUB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CC71"/>
                <w:sz w:val="22"/>
                <w:szCs w:val="22"/>
              </w:rPr>
              <w:t xml:space="preserve">➡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ERP/
SCADA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СЦЕНАРИИ ПРИМЕНЕНИЯ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ФинДрон работает в ключевых отраслях экономики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Сельское хозяйство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Мониторинг посевов, мультиспектральная съёмка, точечное внесение удобрений. Управление парком агродронов с привязкой к полям.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🏭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Промышленность и энергетика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Инспекция трубопроводов, ЛЭП, вышек. Автомаршруты облёта, AI-детекция дефектов, цифровые двойники.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Логистика и доставка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Дроны-курьеры в труднодоступных регионах. Координация с наземным транспортом. Трекинг грузов.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Экология и лесное хозяйство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Мониторинг пожаров, патрулирование ООПТ, оценка ущерба. Автодетекция аномалий на тепловизоре.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🗺️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Геодезия и картография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Ортофотопланы, ЦМР, 3D-модели. Управление вылетами по ТЗ, автообработка результатов.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🏗️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Строительство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Мониторинг хода строительства, контроль объёмов, сравнение факта с проектом. Регулярные облёты.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СПРОС ПО ОТРАСЛЯМ (ПРОГНОЗ 2026)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313"/>
        <w:gridCol w:w="1734"/>
        <w:gridCol w:w="1542"/>
        <w:gridCol w:w="1351"/>
      </w:tblGrid>
      <w:tr>
        <w:tc>
          <w:tcPr>
            <w:tcW w:type="dxa" w:w="2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313"/>
        <w:gridCol w:w="1734"/>
        <w:gridCol w:w="1542"/>
        <w:gridCol w:w="1351"/>
      </w:tblGrid>
      <w:tr>
        <w:tc>
          <w:tcPr>
            <w:tcW w:type="dxa" w:w="2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28%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Сельское хоз-во</w:t>
            </w:r>
          </w:p>
        </w:tc>
        <w:tc>
          <w:tcPr>
            <w:tcW w:type="dxa" w:w="2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24%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Энергетика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20"/>
                <w:szCs w:val="20"/>
              </w:rPr>
              <w:t xml:space="preserve">18%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Строительство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Логистика</w:t>
            </w:r>
          </w:p>
        </w:tc>
        <w:tc>
          <w:tcPr>
            <w:tcW w:type="dxa" w:w="13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14%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Прочие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КЕЙСЫ И ПАРТНЁРЫ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Реальные результаты внедрения решений ФинДрон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D7C66" w:sz="4"/>
              <w:left w:val="single" w:color="0D7C66" w:sz="4"/>
              <w:bottom w:val="none" w:color="FFFFFF" w:sz="0"/>
              <w:right w:val="none" w:color="FFFFFF" w:sz="0"/>
            </w:tcBorders>
            <w:shd w:fill="E8F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4"/>
                <w:szCs w:val="24"/>
              </w:rPr>
              <w:t xml:space="preserve">КЕЙС 1: Агрохолдинг «Чернозём Плюс»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Задача: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централизация управления парком из 45 агродронов в 3 регионах. Разные производители, нет единой картины.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Решение: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ФинДрон HUB: управление полётами + мониторинг + нормализация данных. Интеграция с ГИС.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простои –40%, покрытие площадей +55%, окупаемость — 6 месяцев.</w:t>
            </w:r>
          </w:p>
        </w:tc>
      </w:tr>
    </w:tbl>
    <w:p>
      <w:pPr>
        <w:spacing w:before="15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2A387" w:sz="4"/>
              <w:left w:val="single" w:color="12A387" w:sz="4"/>
              <w:bottom w:val="none" w:color="FFFFFF" w:sz="0"/>
              <w:right w:val="none" w:color="FFFFFF" w:sz="0"/>
            </w:tcBorders>
            <w:shd w:fill="D5F5E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2A387"/>
                <w:sz w:val="24"/>
                <w:szCs w:val="24"/>
              </w:rPr>
              <w:t xml:space="preserve">КЕЙС 2: ПАО «СеверТрубопроводСервис»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Задача: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автоматизация инспекции 1 200 км газопроводов. Ежедневный облёт, детекция утечек.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Решение: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управление и телеметрия на 12 базовых станциях. Тепловизионная аналитика + SCADA.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стоимость инспекции –60% vs вертолёт. Обнаружение инцидентов: 48ч → 2ч.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ПАРТНЁРЫ И СОВМЕСТИМОСТЬ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971550"/>
                  <wp:effectExtent t="0" r="0" b="0" l="0"/>
                  <wp:docPr id="1" name="geoscan" descr="Логотип Геоскан" title="Геоска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76375" cy="1104900"/>
                  <wp:effectExtent t="0" r="0" b="0" l="0"/>
                  <wp:docPr id="1" name="supercam" descr="Логотип Supercam" title="Superc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952500"/>
                  <wp:effectExtent t="0" r="0" b="0" l="0"/>
                  <wp:docPr id="1" name="aeromax" descr="Логотип Аэромакс" title="Аэрома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504825"/>
                  <wp:effectExtent t="0" r="0" b="0" l="0"/>
                  <wp:docPr id="1" name="albatros" descr="Логотип Альбатрос" title="Альбатро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0"/>
      </w:pPr>
    </w:p>
    <w:p>
      <w:pPr>
        <w:spacing w:before="60" w:after="60" w:line="276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ФинДрон сотрудничает с ведущими производителями БАС и разработчиками ПО. Являемся участником рабочих групп нацпроекта «БАС», интеграторами ГИС-решений и провайдерами спутниковой связи.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КАК МЫ РАБОТАЕМ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Прозрачный процесс от первого контакта до масштабирования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Аудит и анализ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1–2 недели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Изучаем парк БАС, ПО, процессы и болевые точки. Формируем карту требований.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Проектирование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1–2 недели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Подбираем модули, проектируем целевую архитектуру и план интеграции.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Интеграция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2–4 недели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Развёртывание решений, настройка интеграций с системами заказчика, миграция данных.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Пилотный запуск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2–4 недели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Запуск на 1 площадке. Тестирование сценариев, обучение операторов, обратная связь.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Масштабирование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Тиражирование на весь парк и все площадки. Подключение доп. модулей.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Сопровождение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24/7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Техподдержка, SLA 99.9%, обновления, адаптация под изменения нормативной базы.</w:t>
            </w:r>
          </w:p>
        </w:tc>
      </w:tr>
    </w:tbl>
    <w:p>
      <w:pPr>
        <w:spacing w:before="300" w:after="0"/>
      </w:pPr>
    </w:p>
    <w:p>
      <w:pPr>
        <w:pBdr>
          <w:top w:val="single" w:color="2ECC71" w:sz="2" w:space="8"/>
          <w:bottom w:val="single" w:color="2ECC71" w:sz="2" w:space="8"/>
        </w:pBdr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Средний срок от контакта до полноценного запуска — </w:t>
      </w:r>
      <w:r>
        <w:rPr>
          <w:rFonts w:ascii="Arial" w:cs="Arial" w:eastAsia="Arial" w:hAnsi="Arial"/>
          <w:b/>
          <w:bCs/>
          <w:color w:val="0D7C66"/>
          <w:sz w:val="22"/>
          <w:szCs w:val="22"/>
        </w:rPr>
        <w:t xml:space="preserve">8–12 недель</w:t>
      </w:r>
    </w:p>
    <w:p>
      <w:r>
        <w:br w:type="page"/>
      </w:r>
    </w:p>
    <w:p>
      <w:pPr>
        <w:spacing w:before="4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373"/>
        <w:gridCol w:w="2409"/>
      </w:tblGrid>
      <w:t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before="200" w:after="0"/>
      </w:pPr>
    </w:p>
    <w:p>
      <w:pPr>
        <w:spacing w:after="0"/>
        <w:jc w:val="center"/>
      </w:pPr>
      <w:r>
        <w:drawing>
          <wp:inline distT="0" distB="0" distL="0" distR="0">
            <wp:extent cx="2286000" cy="2286000"/>
            <wp:effectExtent t="0" r="0" b="0" l="0"/>
            <wp:docPr id="1" name="findron-logo-contacts" descr="Логотип ФинДрон" title="ФинДр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0"/>
      </w:pP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Готовы обсудить ваш проект?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2A387"/>
          <w:sz w:val="24"/>
          <w:szCs w:val="24"/>
        </w:rPr>
        <w:t xml:space="preserve">Запросите персональное коммерческое предложение</w:t>
      </w:r>
    </w:p>
    <w:p>
      <w:pPr>
        <w:spacing w:before="15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☎  +7 (995) 153-83-50</w:t>
      </w: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✉  info@findron.ru</w:t>
      </w:r>
    </w:p>
    <w:p>
      <w:pPr>
        <w:spacing w:after="60"/>
        <w:jc w:val="center"/>
      </w:pPr>
      <w:r>
        <w:rPr>
          <w:rFonts w:ascii="Arial" w:cs="Arial" w:eastAsia="Arial" w:hAnsi="Arial"/>
          <w:color w:val="12A387"/>
          <w:sz w:val="24"/>
          <w:szCs w:val="24"/>
        </w:rPr>
        <w:t xml:space="preserve">🌐  findron.ru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📍  Москва, ул. Инновационная, д. 15, БЦ «ТехноПарк», офис 401</w:t>
      </w:r>
    </w:p>
    <w:p>
      <w:pPr>
        <w:spacing w:before="300" w:after="0"/>
      </w:pPr>
    </w:p>
    <w:p>
      <w:pPr>
        <w:pBdr>
          <w:top w:val="single" w:color="2ECC71" w:sz="4" w:space="12"/>
        </w:pBdr>
        <w:spacing w:before="2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2026 ФинДрон. Все права защищены.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findron.ru  |  info@findron.ru  |  +7 (995) 153-83-50  |  стр. </w:t>
    </w:r>
    <w:r>
      <w:rPr>
        <w:rFonts w:ascii="Arial" w:cs="Arial" w:eastAsia="Arial" w:hAnsi="Arial"/>
        <w:color w:val="0D7C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66" w:sz="2" w:space="4"/>
      </w:pBdr>
      <w:spacing w:after="0"/>
      <w:jc w:val="right"/>
    </w:pPr>
    <w:r>
      <w:rPr>
        <w:rFonts w:ascii="Arial" w:cs="Arial" w:eastAsia="Arial" w:hAnsi="Arial"/>
        <w:b/>
        <w:bCs/>
        <w:color w:val="0D7C66"/>
        <w:sz w:val="16"/>
        <w:szCs w:val="16"/>
      </w:rPr>
      <w:t xml:space="preserve">ФинДрон</w:t>
    </w:r>
    <w:r>
      <w:rPr>
        <w:rFonts w:ascii="Arial" w:cs="Arial" w:eastAsia="Arial" w:hAnsi="Arial"/>
        <w:color w:val="5D6D7E"/>
        <w:sz w:val="16"/>
        <w:szCs w:val="16"/>
      </w:rPr>
      <w:t xml:space="preserve">  |  Корпоративный профиль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2A387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7a49b2f5a9db5607d2e897005057d08078bd104.png"/><Relationship Id="rId9" Type="http://schemas.openxmlformats.org/officeDocument/2006/relationships/image" Target="media/6c19059ef8450546dc2548f4c7f6bf674cdb08f4.png"/><Relationship Id="rId10" Type="http://schemas.openxmlformats.org/officeDocument/2006/relationships/image" Target="media/f718010ace91273018fb702487694dbbb7e381b3.png"/><Relationship Id="rId11" Type="http://schemas.openxmlformats.org/officeDocument/2006/relationships/image" Target="media/f2754ed9c04bab29abd076f464e3f422f9615848.png"/><Relationship Id="rId12" Type="http://schemas.openxmlformats.org/officeDocument/2006/relationships/image" Target="media/a8b96a5b221ceb196ee7803a86c813ffed118384.png"/><Relationship Id="rId13" Type="http://schemas.openxmlformats.org/officeDocument/2006/relationships/image" Target="media/7aa9eeedbf81550bb20bc26d63be1b6edf923eb2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2026-03-23T11:25:49.315Z</dcterms:created>
  <dcterms:modified xsi:type="dcterms:W3CDTF">2026-03-23T11:25:49.316Z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