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3373"/>
        <w:gridCol w:w="2409"/>
      </w:tblGrid>
      <w:tr>
        <w:tc>
          <w:tcPr>
            <w:tcW w:type="dxa" w:w="38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C66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sz w:val="6"/>
                <w:szCs w:val="6"/>
              </w:rPr>
              <w:t xml:space="preserve"> </w:t>
            </w:r>
          </w:p>
        </w:tc>
        <w:tc>
          <w:tcPr>
            <w:tcW w:type="dxa" w:w="33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A387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sz w:val="6"/>
                <w:szCs w:val="6"/>
              </w:rPr>
              <w:t xml:space="preserve"> 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CC71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sz w:val="6"/>
                <w:szCs w:val="6"/>
              </w:rPr>
              <w:t xml:space="preserve"> </w:t>
            </w:r>
          </w:p>
        </w:tc>
      </w:tr>
    </w:tbl>
    <w:p>
      <w:pPr>
        <w:spacing w:before="400" w:after="0"/>
      </w:pPr>
    </w:p>
    <w:p>
      <w:pPr>
        <w:spacing w:after="200"/>
        <w:jc w:val="center"/>
      </w:pPr>
      <w:r>
        <w:drawing>
          <wp:inline distT="0" distB="0" distL="0" distR="0">
            <wp:extent cx="2095500" cy="2095500"/>
            <wp:effectExtent t="0" r="0" b="0" l="0"/>
            <wp:docPr id="1" name="logo" descr="Логотип" title="ФинДро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0" w:after="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1A2E"/>
          <w:spacing w:val="120"/>
          <w:sz w:val="28"/>
          <w:szCs w:val="28"/>
        </w:rPr>
        <w:t xml:space="preserve">КОММЕРЧЕСКОЕ ПРЕДЛОЖЕНИЕ</w:t>
      </w:r>
    </w:p>
    <w:p>
      <w:pPr>
        <w:pBdr>
          <w:bottom w:val="single" w:color="2ECC71" w:sz="4" w:space="10"/>
        </w:pBdr>
        <w:spacing w:before="60" w:after="200"/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IT-агрегатор решений для беспилотных авиационных систем</w:t>
      </w:r>
    </w:p>
    <w:p>
      <w:pPr>
        <w:spacing w:before="400" w:after="0"/>
      </w:pPr>
    </w:p>
    <w:p>
      <w:pPr>
        <w:spacing w:after="60"/>
        <w:jc w:val="center"/>
      </w:pPr>
      <w:r>
        <w:rPr>
          <w:rFonts w:ascii="Arial" w:cs="Arial" w:eastAsia="Arial" w:hAnsi="Arial"/>
          <w:color w:val="5D6D7E"/>
          <w:spacing w:val="60"/>
          <w:sz w:val="18"/>
          <w:szCs w:val="18"/>
        </w:rPr>
        <w:t xml:space="preserve">Подготовлено для: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D7C66"/>
          <w:sz w:val="30"/>
          <w:szCs w:val="30"/>
        </w:rPr>
        <w:t xml:space="preserve">[Название компании-клиента]</w:t>
      </w:r>
    </w:p>
    <w:p>
      <w:pPr>
        <w:spacing w:before="20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single" w:color="0D7C66" w:sz="6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0D7C66"/>
                <w:sz w:val="36"/>
                <w:szCs w:val="36"/>
              </w:rPr>
              <w:t xml:space="preserve">150+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клиентов</w:t>
            </w:r>
          </w:p>
        </w:tc>
        <w:tc>
          <w:tcPr>
            <w:tcW w:type="dxa" w:w="2409"/>
            <w:tcBorders>
              <w:top w:val="single" w:color="12A387" w:sz="6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2A387"/>
                <w:sz w:val="36"/>
                <w:szCs w:val="36"/>
              </w:rPr>
              <w:t xml:space="preserve">15+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решений</w:t>
            </w:r>
          </w:p>
        </w:tc>
        <w:tc>
          <w:tcPr>
            <w:tcW w:type="dxa" w:w="2409"/>
            <w:tcBorders>
              <w:top w:val="single" w:color="27AE60" w:sz="6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36"/>
                <w:szCs w:val="36"/>
              </w:rPr>
              <w:t xml:space="preserve">5 лет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на рынке</w:t>
            </w:r>
          </w:p>
        </w:tc>
        <w:tc>
          <w:tcPr>
            <w:tcW w:type="dxa" w:w="2409"/>
            <w:tcBorders>
              <w:top w:val="single" w:color="1ABC9C" w:sz="6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BC9C"/>
                <w:sz w:val="36"/>
                <w:szCs w:val="36"/>
              </w:rPr>
              <w:t xml:space="preserve">120+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специалистов</w:t>
            </w:r>
          </w:p>
        </w:tc>
      </w:tr>
    </w:tbl>
    <w:p>
      <w:pPr>
        <w:spacing w:before="400" w:after="0"/>
      </w:pPr>
    </w:p>
    <w:p>
      <w:pPr>
        <w:jc w:val="center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findron.ru  |  info@findron.ru  |  +7 (995) 153-83-50</w:t>
      </w:r>
    </w:p>
    <w:p>
      <w:pPr>
        <w:spacing w:before="60"/>
        <w:jc w:val="center"/>
      </w:pPr>
      <w:r>
        <w:rPr>
          <w:rFonts w:ascii="Arial" w:cs="Arial" w:eastAsia="Arial" w:hAnsi="Arial"/>
          <w:color w:val="95A5A6"/>
          <w:sz w:val="18"/>
          <w:szCs w:val="18"/>
        </w:rPr>
        <w:t xml:space="preserve">Москва, 2026</w:t>
      </w:r>
    </w:p>
    <w:p>
      <w:r>
        <w:br w:type="pag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0D7C66"/>
          <w:sz w:val="36"/>
          <w:szCs w:val="36"/>
        </w:rPr>
        <w:t xml:space="preserve">О КОМПАНИИ ФИНДРОН</w:t>
      </w:r>
    </w:p>
    <w:p>
      <w:pPr>
        <w:spacing w:before="60" w:after="120"/>
      </w:pP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Vendor-agnostic интегратор решений для БАС</w:t>
      </w:r>
    </w:p>
    <w:p>
      <w:pPr>
        <w:pBdr>
          <w:bottom w:val="single" w:color="0D7C66" w:sz="6" w:space="1"/>
        </w:pBdr>
        <w:spacing w:before="200" w:after="200"/>
      </w:pPr>
    </w:p>
    <w:p>
      <w:pPr>
        <w:spacing w:before="60" w:after="60" w:line="30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ФинДрон — российская IT-компания, специализирующаяся на агрегации, поставке и интеграции программных решений для беспилотных авиационных систем. Мы подбираем, адаптируем и объединяем лучшие решения от проверенных вендоров в единую экосистему.</w:t>
      </w:r>
    </w:p>
    <w:p>
      <w:pPr>
        <w:spacing w:before="15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D7C66"/>
                <w:sz w:val="22"/>
                <w:szCs w:val="22"/>
              </w:rPr>
              <w:t xml:space="preserve">Почему мы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Единое окно, vendor-agnostic подход, быстрое внедрение от 4 недель, масштабирование до 500+ бортов.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D7C66"/>
                <w:sz w:val="22"/>
                <w:szCs w:val="22"/>
              </w:rPr>
              <w:t xml:space="preserve">Результат для клиента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Снижение OPEX на 20–40%, рост утилизации парка на 60%, SLA 99.9%, единый интерфейс управления.</w:t>
            </w:r>
          </w:p>
        </w:tc>
      </w:tr>
    </w:tbl>
    <w:p>
      <w:pPr>
        <w:spacing w:before="30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0D7C66"/>
          <w:sz w:val="36"/>
          <w:szCs w:val="36"/>
        </w:rPr>
        <w:t xml:space="preserve">ИНИЦИАТИВА</w:t>
      </w:r>
    </w:p>
    <w:p>
      <w:pPr>
        <w:pBdr>
          <w:bottom w:val="single" w:color="0D7C66" w:sz="6" w:space="1"/>
        </w:pBdr>
        <w:spacing w:before="200"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558"/>
      </w:tblGrid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C66" w:val="clear"/>
          </w:tcPr>
          <w:p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95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2C3E50"/>
                <w:sz w:val="22"/>
                <w:szCs w:val="22"/>
              </w:rPr>
              <w:t xml:space="preserve">[Описание задачи клиента: например, централизация управления парком из N дронов в M регионах, интеграция с существующими системами.]</w:t>
            </w:r>
          </w:p>
        </w:tc>
      </w:tr>
    </w:tbl>
    <w:p>
      <w:pPr>
        <w:spacing w:before="20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0D7C66"/>
          <w:sz w:val="36"/>
          <w:szCs w:val="36"/>
        </w:rPr>
        <w:t xml:space="preserve">НАШЕ ПРЕДЛОЖЕНИЕ</w:t>
      </w:r>
    </w:p>
    <w:p>
      <w:pPr>
        <w:pBdr>
          <w:bottom w:val="single" w:color="0D7C66" w:sz="6" w:space="1"/>
        </w:pBdr>
        <w:spacing w:before="200" w:after="200"/>
      </w:pPr>
    </w:p>
    <w:p>
      <w:pPr>
        <w:spacing w:before="60" w:after="60" w:line="30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Мы предоставляем комплексную программную инфраструктуру, адаптированную под задачи вашего бизнеса:</w:t>
      </w:r>
    </w:p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Централизованное управление полётами всего парка из единого интерфейса ФинДрон HUB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Мониторинг телеметрии в реальном времени с настраиваемой системой алертов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Нормализация данных из разнородных источников и интеграция с ERP, SCADA, ГИС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Обеспечение отказоустойчивости: резервирование каналов, автономные сценарии, SLA 99.9%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Аналитика и отчётность: KPI флота, прогнозирование ТО, отчёты для регуляторов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Финансовая аналитика эксплуатации и автоматический расчёт стоимости услуг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Поддержка и сопровождение 24/7 на всём сроке эксплуатации</w:t>
      </w:r>
    </w:p>
    <w:p>
      <w:r>
        <w:br w:type="pag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0D7C66"/>
          <w:sz w:val="36"/>
          <w:szCs w:val="36"/>
        </w:rPr>
        <w:t xml:space="preserve">ВЫГОДЫ ДЛЯ КЛИЕНТА</w:t>
      </w:r>
    </w:p>
    <w:p>
      <w:pPr>
        <w:pBdr>
          <w:bottom w:val="single" w:color="0D7C66" w:sz="6" w:space="1"/>
        </w:pBdr>
        <w:spacing w:before="200" w:after="200"/>
      </w:pPr>
    </w:p>
    <w:p>
      <w:pPr>
        <w:spacing w:before="10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D7C66"/>
                <w:sz w:val="22"/>
                <w:szCs w:val="22"/>
              </w:rPr>
              <w:t xml:space="preserve">✔  Один интерфейс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Вместо 3–5 разных систем — единая панель управления всем парком.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D7C66"/>
                <w:sz w:val="22"/>
                <w:szCs w:val="22"/>
              </w:rPr>
              <w:t xml:space="preserve">✔  Экономия 20–40%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Снижение стоимости владения за счёт автоматизации и единого окна.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D7C66"/>
                <w:sz w:val="22"/>
                <w:szCs w:val="22"/>
              </w:rPr>
              <w:t xml:space="preserve">✔  Быстрый старт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Пилотный запуск за 4–8 недель. Готовые модули и апробированные сценарии.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D7C66"/>
                <w:sz w:val="22"/>
                <w:szCs w:val="22"/>
              </w:rPr>
              <w:t xml:space="preserve">✔  Масштабируемость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От 5 до 500+ бортов без перестройки архитектуры.</w:t>
            </w:r>
          </w:p>
        </w:tc>
      </w:tr>
    </w:tbl>
    <w:p>
      <w:pPr>
        <w:spacing w:before="30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0D7C66"/>
          <w:sz w:val="36"/>
          <w:szCs w:val="36"/>
        </w:rPr>
        <w:t xml:space="preserve">УСЛОВИЯ И СТОИМОСТЬ</w:t>
      </w:r>
    </w:p>
    <w:p>
      <w:pPr>
        <w:pBdr>
          <w:bottom w:val="single" w:color="0D7C66" w:sz="6" w:space="1"/>
        </w:pBdr>
        <w:spacing w:before="200" w:after="200"/>
      </w:pPr>
    </w:p>
    <w:p>
      <w:pPr>
        <w:spacing w:before="60" w:after="60" w:line="30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Стоимость рассчитывается индивидуально. Ориентировочные параметры двух тарифных планов:</w:t>
      </w:r>
    </w:p>
    <w:p>
      <w:pPr>
        <w:spacing w:before="15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2891"/>
        <w:gridCol w:w="2891"/>
      </w:tblGrid>
      <w:tr>
        <w:tc>
          <w:tcPr>
            <w:tcW w:type="dxa" w:w="385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7C6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289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7C6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Стандарт</w:t>
            </w:r>
          </w:p>
        </w:tc>
        <w:tc>
          <w:tcPr>
            <w:tcW w:type="dxa" w:w="289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2A38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Премиум</w:t>
            </w:r>
          </w:p>
        </w:tc>
      </w:tr>
      <w:tr>
        <w:tc>
          <w:tcPr>
            <w:tcW w:type="dxa" w:w="385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Количество бортов</w:t>
            </w:r>
          </w:p>
        </w:tc>
        <w:tc>
          <w:tcPr>
            <w:tcW w:type="dxa" w:w="289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до 20</w:t>
            </w:r>
          </w:p>
        </w:tc>
        <w:tc>
          <w:tcPr>
            <w:tcW w:type="dxa" w:w="289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C66"/>
                <w:sz w:val="19"/>
                <w:szCs w:val="19"/>
              </w:rPr>
              <w:t xml:space="preserve">до 500+</w:t>
            </w:r>
          </w:p>
        </w:tc>
      </w:tr>
      <w:tr>
        <w:tc>
          <w:tcPr>
            <w:tcW w:type="dxa" w:w="385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Модули</w:t>
            </w:r>
          </w:p>
        </w:tc>
        <w:tc>
          <w:tcPr>
            <w:tcW w:type="dxa" w:w="289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 базовых</w:t>
            </w:r>
          </w:p>
        </w:tc>
        <w:tc>
          <w:tcPr>
            <w:tcW w:type="dxa" w:w="289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C66"/>
                <w:sz w:val="19"/>
                <w:szCs w:val="19"/>
              </w:rPr>
              <w:t xml:space="preserve">Все 6 модулей</w:t>
            </w:r>
          </w:p>
        </w:tc>
      </w:tr>
      <w:tr>
        <w:tc>
          <w:tcPr>
            <w:tcW w:type="dxa" w:w="385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Интеграции</w:t>
            </w:r>
          </w:p>
        </w:tc>
        <w:tc>
          <w:tcPr>
            <w:tcW w:type="dxa" w:w="289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API</w:t>
            </w:r>
          </w:p>
        </w:tc>
        <w:tc>
          <w:tcPr>
            <w:tcW w:type="dxa" w:w="289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C66"/>
                <w:sz w:val="19"/>
                <w:szCs w:val="19"/>
              </w:rPr>
              <w:t xml:space="preserve">API + SCADA + ERP + ГИС</w:t>
            </w:r>
          </w:p>
        </w:tc>
      </w:tr>
      <w:tr>
        <w:tc>
          <w:tcPr>
            <w:tcW w:type="dxa" w:w="385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SLA доступности</w:t>
            </w:r>
          </w:p>
        </w:tc>
        <w:tc>
          <w:tcPr>
            <w:tcW w:type="dxa" w:w="289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99.5%</w:t>
            </w:r>
          </w:p>
        </w:tc>
        <w:tc>
          <w:tcPr>
            <w:tcW w:type="dxa" w:w="289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C66"/>
                <w:sz w:val="19"/>
                <w:szCs w:val="19"/>
              </w:rPr>
              <w:t xml:space="preserve">99.9%</w:t>
            </w:r>
          </w:p>
        </w:tc>
      </w:tr>
      <w:tr>
        <w:tc>
          <w:tcPr>
            <w:tcW w:type="dxa" w:w="385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Техподдержка</w:t>
            </w:r>
          </w:p>
        </w:tc>
        <w:tc>
          <w:tcPr>
            <w:tcW w:type="dxa" w:w="289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8/5 (будни)</w:t>
            </w:r>
          </w:p>
        </w:tc>
        <w:tc>
          <w:tcPr>
            <w:tcW w:type="dxa" w:w="289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C66"/>
                <w:sz w:val="19"/>
                <w:szCs w:val="19"/>
              </w:rPr>
              <w:t xml:space="preserve">24/7</w:t>
            </w:r>
          </w:p>
        </w:tc>
      </w:tr>
      <w:tr>
        <w:tc>
          <w:tcPr>
            <w:tcW w:type="dxa" w:w="385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Срок внедрения</w:t>
            </w:r>
          </w:p>
        </w:tc>
        <w:tc>
          <w:tcPr>
            <w:tcW w:type="dxa" w:w="289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4–8 недель</w:t>
            </w:r>
          </w:p>
        </w:tc>
        <w:tc>
          <w:tcPr>
            <w:tcW w:type="dxa" w:w="289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C66"/>
                <w:sz w:val="19"/>
                <w:szCs w:val="19"/>
              </w:rPr>
              <w:t xml:space="preserve">8–12 недель</w:t>
            </w:r>
          </w:p>
        </w:tc>
      </w:tr>
      <w:tr>
        <w:tc>
          <w:tcPr>
            <w:tcW w:type="dxa" w:w="385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Обучение персонала</w:t>
            </w:r>
          </w:p>
        </w:tc>
        <w:tc>
          <w:tcPr>
            <w:tcW w:type="dxa" w:w="289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Онлайн</w:t>
            </w:r>
          </w:p>
        </w:tc>
        <w:tc>
          <w:tcPr>
            <w:tcW w:type="dxa" w:w="289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C66"/>
                <w:sz w:val="19"/>
                <w:szCs w:val="19"/>
              </w:rPr>
              <w:t xml:space="preserve">Онлайн + выезд</w:t>
            </w:r>
          </w:p>
        </w:tc>
      </w:tr>
    </w:tbl>
    <w:p>
      <w:pPr>
        <w:spacing w:before="200" w:after="0"/>
      </w:pPr>
    </w:p>
    <w:p>
      <w:pPr>
        <w:pBdr>
          <w:top w:val="single" w:color="2ECC71" w:sz="2" w:space="8"/>
          <w:bottom w:val="single" w:color="2ECC71" w:sz="2" w:space="8"/>
        </w:pBdr>
        <w:jc w:val="center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Точная стоимость формируется по результатам аудита. </w:t>
      </w:r>
      <w:r>
        <w:rPr>
          <w:rFonts w:ascii="Arial" w:cs="Arial" w:eastAsia="Arial" w:hAnsi="Arial"/>
          <w:b/>
          <w:bCs/>
          <w:color w:val="0D7C66"/>
          <w:sz w:val="21"/>
          <w:szCs w:val="21"/>
        </w:rPr>
        <w:t xml:space="preserve">Запросите расчёт под ваш проект.</w:t>
      </w:r>
    </w:p>
    <w:p>
      <w:r>
        <w:br w:type="pag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0D7C66"/>
          <w:sz w:val="36"/>
          <w:szCs w:val="36"/>
        </w:rPr>
        <w:t xml:space="preserve">ЭТАПЫ СОТРУДНИЧЕСТВА</w:t>
      </w:r>
    </w:p>
    <w:p>
      <w:pPr>
        <w:spacing w:before="60" w:after="120"/>
      </w:pP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Прозрачный процесс от аудита до масштабирования</w:t>
      </w:r>
    </w:p>
    <w:p>
      <w:pPr>
        <w:pBdr>
          <w:bottom w:val="single" w:color="0D7C66" w:sz="6" w:space="1"/>
        </w:pBdr>
        <w:spacing w:before="200" w:after="200"/>
      </w:pPr>
    </w:p>
    <w:p>
      <w:pPr>
        <w:spacing w:before="10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"/>
        <w:gridCol w:w="8438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C6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vAlign w:val="center"/>
          </w:tcPr>
          <w:p>
            <w:pPr>
              <w:pBdr>
                <w:bottom w:val="single" w:color="2ECC71" w:sz="4" w:space="0"/>
              </w:pBdr>
            </w:pPr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  <w:tc>
          <w:tcPr>
            <w:tcW w:type="dxa" w:w="8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Аудит и анализ</w:t>
            </w:r>
            <w:r>
              <w:rPr>
                <w:rFonts w:ascii="Arial" w:cs="Arial" w:eastAsia="Arial" w:hAnsi="Arial"/>
                <w:i/>
                <w:iCs/>
                <w:color w:val="12A387"/>
                <w:sz w:val="18"/>
                <w:szCs w:val="18"/>
              </w:rPr>
              <w:t xml:space="preserve">  1–2 нед.</w:t>
            </w:r>
          </w:p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Изучаем парк БАС, текущее ПО, процессы и требования. Формируем карту потребностей.</w:t>
            </w:r>
          </w:p>
        </w:tc>
      </w:tr>
    </w:tbl>
    <w:p>
      <w:pPr>
        <w:spacing w:before="6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"/>
        <w:gridCol w:w="8438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C6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vAlign w:val="center"/>
          </w:tcPr>
          <w:p>
            <w:pPr>
              <w:pBdr>
                <w:bottom w:val="single" w:color="2ECC71" w:sz="4" w:space="0"/>
              </w:pBdr>
            </w:pPr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  <w:tc>
          <w:tcPr>
            <w:tcW w:type="dxa" w:w="8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Проектирование</w:t>
            </w:r>
            <w:r>
              <w:rPr>
                <w:rFonts w:ascii="Arial" w:cs="Arial" w:eastAsia="Arial" w:hAnsi="Arial"/>
                <w:i/>
                <w:iCs/>
                <w:color w:val="12A387"/>
                <w:sz w:val="18"/>
                <w:szCs w:val="18"/>
              </w:rPr>
              <w:t xml:space="preserve">  1–2 нед.</w:t>
            </w:r>
          </w:p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Подбираем модули, проектируем целевую архитектуру и план интеграции с системами заказчика.</w:t>
            </w:r>
          </w:p>
        </w:tc>
      </w:tr>
    </w:tbl>
    <w:p>
      <w:pPr>
        <w:spacing w:before="6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"/>
        <w:gridCol w:w="8438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C6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vAlign w:val="center"/>
          </w:tcPr>
          <w:p>
            <w:pPr>
              <w:pBdr>
                <w:bottom w:val="single" w:color="2ECC71" w:sz="4" w:space="0"/>
              </w:pBdr>
            </w:pPr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  <w:tc>
          <w:tcPr>
            <w:tcW w:type="dxa" w:w="8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Интеграция</w:t>
            </w:r>
            <w:r>
              <w:rPr>
                <w:rFonts w:ascii="Arial" w:cs="Arial" w:eastAsia="Arial" w:hAnsi="Arial"/>
                <w:i/>
                <w:iCs/>
                <w:color w:val="12A387"/>
                <w:sz w:val="18"/>
                <w:szCs w:val="18"/>
              </w:rPr>
              <w:t xml:space="preserve">  2–4 нед.</w:t>
            </w:r>
          </w:p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Развёртывание решений, настройка интеграций, миграция данных, тестирование.</w:t>
            </w:r>
          </w:p>
        </w:tc>
      </w:tr>
    </w:tbl>
    <w:p>
      <w:pPr>
        <w:spacing w:before="6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"/>
        <w:gridCol w:w="8438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C6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vAlign w:val="center"/>
          </w:tcPr>
          <w:p>
            <w:pPr>
              <w:pBdr>
                <w:bottom w:val="single" w:color="2ECC71" w:sz="4" w:space="0"/>
              </w:pBdr>
            </w:pPr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  <w:tc>
          <w:tcPr>
            <w:tcW w:type="dxa" w:w="8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Пилот</w:t>
            </w:r>
            <w:r>
              <w:rPr>
                <w:rFonts w:ascii="Arial" w:cs="Arial" w:eastAsia="Arial" w:hAnsi="Arial"/>
                <w:i/>
                <w:iCs/>
                <w:color w:val="12A387"/>
                <w:sz w:val="18"/>
                <w:szCs w:val="18"/>
              </w:rPr>
              <w:t xml:space="preserve">  2–4 нед.</w:t>
            </w:r>
          </w:p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Запуск на 1 площадке. Обучение операторов, сбор обратной связи, доработки.</w:t>
            </w:r>
          </w:p>
        </w:tc>
      </w:tr>
    </w:tbl>
    <w:p>
      <w:pPr>
        <w:spacing w:before="6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"/>
        <w:gridCol w:w="8438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C6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vAlign w:val="center"/>
          </w:tcPr>
          <w:p>
            <w:pPr>
              <w:pBdr>
                <w:bottom w:val="single" w:color="2ECC71" w:sz="4" w:space="0"/>
              </w:pBdr>
            </w:pPr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  <w:tc>
          <w:tcPr>
            <w:tcW w:type="dxa" w:w="8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Масштабирование</w:t>
            </w:r>
            <w:r>
              <w:rPr>
                <w:rFonts w:ascii="Arial" w:cs="Arial" w:eastAsia="Arial" w:hAnsi="Arial"/>
                <w:i/>
                <w:iCs/>
                <w:color w:val="12A387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Тиражирование на весь парк и все площадки. Подключение дополнительных модулей.</w:t>
            </w:r>
          </w:p>
        </w:tc>
      </w:tr>
    </w:tbl>
    <w:p>
      <w:pPr>
        <w:spacing w:before="6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"/>
        <w:gridCol w:w="8438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C6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6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vAlign w:val="center"/>
          </w:tcPr>
          <w:p>
            <w:pPr>
              <w:pBdr>
                <w:bottom w:val="single" w:color="2ECC71" w:sz="4" w:space="0"/>
              </w:pBdr>
            </w:pPr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  <w:tc>
          <w:tcPr>
            <w:tcW w:type="dxa" w:w="8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Сопровождение</w:t>
            </w:r>
            <w:r>
              <w:rPr>
                <w:rFonts w:ascii="Arial" w:cs="Arial" w:eastAsia="Arial" w:hAnsi="Arial"/>
                <w:i/>
                <w:iCs/>
                <w:color w:val="12A387"/>
                <w:sz w:val="18"/>
                <w:szCs w:val="18"/>
              </w:rPr>
              <w:t xml:space="preserve">  24/7</w:t>
            </w:r>
          </w:p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Техподдержка, обновления, адаптация под изменения нормативной базы. SLA 99.9%.</w:t>
            </w:r>
          </w:p>
        </w:tc>
      </w:tr>
    </w:tbl>
    <w:p>
      <w:pPr>
        <w:spacing w:before="300" w:after="0"/>
      </w:pPr>
    </w:p>
    <w:p>
      <w:pPr>
        <w:pBdr>
          <w:top w:val="single" w:color="2ECC71" w:sz="2" w:space="8"/>
          <w:bottom w:val="single" w:color="2ECC71" w:sz="2" w:space="8"/>
        </w:pBdr>
        <w:jc w:val="center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Средний срок от контакта до полноценного запуска — </w:t>
      </w:r>
      <w:r>
        <w:rPr>
          <w:rFonts w:ascii="Arial" w:cs="Arial" w:eastAsia="Arial" w:hAnsi="Arial"/>
          <w:b/>
          <w:bCs/>
          <w:color w:val="0D7C66"/>
          <w:sz w:val="22"/>
          <w:szCs w:val="22"/>
        </w:rPr>
        <w:t xml:space="preserve">8–12 недель</w:t>
      </w:r>
    </w:p>
    <w:p>
      <w:r>
        <w:br w:type="page"/>
      </w:r>
    </w:p>
    <w:p>
      <w:pPr>
        <w:spacing w:before="40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3373"/>
        <w:gridCol w:w="2409"/>
      </w:tblGrid>
      <w:tr>
        <w:tc>
          <w:tcPr>
            <w:tcW w:type="dxa" w:w="38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C66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sz w:val="6"/>
                <w:szCs w:val="6"/>
              </w:rPr>
              <w:t xml:space="preserve"> </w:t>
            </w:r>
          </w:p>
        </w:tc>
        <w:tc>
          <w:tcPr>
            <w:tcW w:type="dxa" w:w="33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A387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sz w:val="6"/>
                <w:szCs w:val="6"/>
              </w:rPr>
              <w:t xml:space="preserve"> 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CC71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sz w:val="6"/>
                <w:szCs w:val="6"/>
              </w:rPr>
              <w:t xml:space="preserve"> </w:t>
            </w:r>
          </w:p>
        </w:tc>
      </w:tr>
    </w:tbl>
    <w:p>
      <w:pPr>
        <w:spacing w:before="300" w:after="0"/>
      </w:pPr>
    </w:p>
    <w:p>
      <w:pPr>
        <w:spacing w:after="200"/>
        <w:jc w:val="center"/>
      </w:pPr>
      <w:r>
        <w:drawing>
          <wp:inline distT="0" distB="0" distL="0" distR="0">
            <wp:extent cx="1714500" cy="1714500"/>
            <wp:effectExtent t="0" r="0" b="0" l="0"/>
            <wp:docPr id="1" name="logo-end" descr="Логотип" title="ФинДро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0" w:after="0"/>
      </w:pPr>
    </w:p>
    <w:p>
      <w:pPr>
        <w:spacing w:after="60"/>
        <w:jc w:val="center"/>
      </w:pPr>
      <w:r>
        <w:rPr>
          <w:rFonts w:ascii="Arial" w:cs="Arial" w:eastAsia="Arial" w:hAnsi="Arial"/>
          <w:color w:val="1A1A2E"/>
          <w:sz w:val="28"/>
          <w:szCs w:val="28"/>
        </w:rPr>
        <w:t xml:space="preserve">Готовы обсудить ваш проект?</w:t>
      </w:r>
    </w:p>
    <w:p>
      <w:pPr>
        <w:pBdr>
          <w:bottom w:val="single" w:color="0D7C66" w:sz="6" w:space="1"/>
        </w:pBdr>
        <w:spacing w:before="200" w:after="200"/>
      </w:pPr>
    </w:p>
    <w:p>
      <w:pPr>
        <w:spacing w:before="100" w:after="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2A387"/>
          <w:sz w:val="24"/>
          <w:szCs w:val="24"/>
        </w:rPr>
        <w:t xml:space="preserve">Запросите персональный расчёт стоимости</w:t>
      </w:r>
    </w:p>
    <w:p>
      <w:pPr>
        <w:spacing w:before="150" w:after="0"/>
      </w:pPr>
    </w:p>
    <w:p>
      <w:pPr>
        <w:spacing w:after="60"/>
        <w:jc w:val="center"/>
      </w:pPr>
      <w:r>
        <w:rPr>
          <w:rFonts w:ascii="Arial" w:cs="Arial" w:eastAsia="Arial" w:hAnsi="Arial"/>
          <w:color w:val="1A1A2E"/>
          <w:sz w:val="24"/>
          <w:szCs w:val="24"/>
        </w:rPr>
        <w:t xml:space="preserve">☎  +7 (995) 153-83-50</w:t>
      </w:r>
    </w:p>
    <w:p>
      <w:pPr>
        <w:spacing w:after="60"/>
        <w:jc w:val="center"/>
      </w:pPr>
      <w:r>
        <w:rPr>
          <w:rFonts w:ascii="Arial" w:cs="Arial" w:eastAsia="Arial" w:hAnsi="Arial"/>
          <w:color w:val="1A1A2E"/>
          <w:sz w:val="24"/>
          <w:szCs w:val="24"/>
        </w:rPr>
        <w:t xml:space="preserve">✉  info@findron.ru</w:t>
      </w:r>
    </w:p>
    <w:p>
      <w:pPr>
        <w:spacing w:after="60"/>
        <w:jc w:val="center"/>
      </w:pPr>
      <w:r>
        <w:rPr>
          <w:rFonts w:ascii="Arial" w:cs="Arial" w:eastAsia="Arial" w:hAnsi="Arial"/>
          <w:color w:val="12A387"/>
          <w:sz w:val="24"/>
          <w:szCs w:val="24"/>
        </w:rPr>
        <w:t xml:space="preserve">findron.ru</w:t>
      </w:r>
    </w:p>
    <w:p>
      <w:pPr>
        <w:spacing w:after="60"/>
        <w:jc w:val="center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Москва, ул. Инновационная, д. 15, БЦ «ТехноПарк», офис 401</w:t>
      </w:r>
    </w:p>
    <w:p>
      <w:pPr>
        <w:spacing w:before="400" w:after="0"/>
      </w:pPr>
    </w:p>
    <w:p>
      <w:pPr>
        <w:pBdr>
          <w:top w:val="single" w:color="2ECC71" w:sz="4" w:space="12"/>
        </w:pBdr>
        <w:spacing w:before="200"/>
        <w:jc w:val="center"/>
      </w:pPr>
      <w:r>
        <w:rPr>
          <w:rFonts w:ascii="Arial" w:cs="Arial" w:eastAsia="Arial" w:hAnsi="Arial"/>
          <w:color w:val="5D6D7E"/>
          <w:sz w:val="18"/>
          <w:szCs w:val="18"/>
        </w:rPr>
        <w:t xml:space="preserve">© 2026 ФинДрон. Все права защищены.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1" w:space="4"/>
      </w:pBdr>
      <w:jc w:val="center"/>
    </w:pPr>
    <w:r>
      <w:rPr>
        <w:rFonts w:ascii="Arial" w:cs="Arial" w:eastAsia="Arial" w:hAnsi="Arial"/>
        <w:color w:val="5D6D7E"/>
        <w:sz w:val="16"/>
        <w:szCs w:val="16"/>
      </w:rPr>
      <w:t xml:space="preserve">findron.ru  |  info@findron.ru  |  +7 (995) 153-83-50  |  стр. </w:t>
    </w:r>
    <w:r>
      <w:rPr>
        <w:rFonts w:ascii="Arial" w:cs="Arial" w:eastAsia="Arial" w:hAnsi="Arial"/>
        <w:color w:val="0D7C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7C66" w:sz="2" w:space="4"/>
      </w:pBdr>
      <w:spacing w:after="0"/>
      <w:jc w:val="right"/>
    </w:pPr>
    <w:r>
      <w:rPr>
        <w:rFonts w:ascii="Arial" w:cs="Arial" w:eastAsia="Arial" w:hAnsi="Arial"/>
        <w:b/>
        <w:bCs/>
        <w:color w:val="0D7C66"/>
        <w:sz w:val="16"/>
        <w:szCs w:val="16"/>
      </w:rPr>
      <w:t xml:space="preserve">ФинДрон</w:t>
    </w:r>
    <w:r>
      <w:rPr>
        <w:rFonts w:ascii="Arial" w:cs="Arial" w:eastAsia="Arial" w:hAnsi="Arial"/>
        <w:color w:val="5D6D7E"/>
        <w:sz w:val="16"/>
        <w:szCs w:val="16"/>
      </w:rPr>
      <w:t xml:space="preserve">  |  Коммерческое предложение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2A387"/>
        <w:sz w:val="18"/>
        <w:szCs w:val="18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✔"/>
      <w:lvlJc w:val="left"/>
      <w:pPr>
        <w:ind w:left="720" w:hanging="360"/>
      </w:pPr>
      <w:rPr>
        <w:rFonts w:ascii="Arial" w:cs="Arial" w:eastAsia="Arial" w:hAnsi="Arial"/>
        <w:color w:val="0D7C66"/>
        <w:sz w:val="20"/>
        <w:szCs w:val="20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/>
        <w:bCs/>
        <w:color w:val="0D7C66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a7a49b2f5a9db5607d2e897005057d08078bd104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2026-03-23T11:34:33.006Z</dcterms:created>
  <dcterms:modified xsi:type="dcterms:W3CDTF">2026-03-23T11:34:33.006Z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