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13422" w14:textId="77777777" w:rsidR="00180691" w:rsidRPr="006E1F88" w:rsidRDefault="00180691" w:rsidP="00180691">
      <w:pPr>
        <w:pStyle w:val="CommentText"/>
        <w:rPr>
          <w:rFonts w:ascii="Georgia" w:hAnsi="Georgia"/>
          <w:color w:val="2E2E2E"/>
          <w:sz w:val="27"/>
          <w:szCs w:val="27"/>
          <w:lang w:val="en-US"/>
        </w:rPr>
      </w:pPr>
      <w:r>
        <w:rPr>
          <w:rStyle w:val="CommentReference"/>
        </w:rPr>
        <w:t/>
      </w:r>
      <w:r w:rsidRPr="001864F5">
        <w:rPr>
          <w:rFonts w:ascii="Georgia" w:hAnsi="Georgia"/>
          <w:color w:val="2E2E2E"/>
          <w:sz w:val="27"/>
          <w:szCs w:val="27"/>
          <w:lang w:val="en-US"/>
        </w:rPr>
        <w:t>Considering the importance of DOM in the carbon cycle, its influence on the cycling of other elements and its potential increase in concentrations under the influence of climate change and other </w:t>
      </w:r>
      <w:hyperlink r:id="rId4" w:tooltip="Learn more about Anthropogenic Factor from ScienceDirect's AI-generated Topic Pages" w:history="1">
        <w:r w:rsidRPr="001864F5">
          <w:rPr>
            <w:rStyle w:val="Hyperlink"/>
            <w:rFonts w:ascii="Georgia" w:hAnsi="Georgia"/>
            <w:color w:val="0C7DBB"/>
            <w:sz w:val="27"/>
            <w:szCs w:val="27"/>
            <w:lang w:val="en-US"/>
          </w:rPr>
          <w:t>anthropogenic factors</w:t>
        </w:r>
      </w:hyperlink>
      <w:r w:rsidRPr="001864F5">
        <w:rPr>
          <w:rFonts w:ascii="Georgia" w:hAnsi="Georgia"/>
          <w:color w:val="2E2E2E"/>
          <w:sz w:val="27"/>
          <w:szCs w:val="27"/>
          <w:lang w:val="en-US"/>
        </w:rPr>
        <w:t xml:space="preserve">, it is particularly important to obtain accurate and rapid estimates of DOC in remote areas. </w:t>
      </w:r>
      <w:r w:rsidRPr="006E1F88">
        <w:rPr>
          <w:rFonts w:ascii="Georgia" w:hAnsi="Georgia"/>
          <w:color w:val="2E2E2E"/>
          <w:sz w:val="27"/>
          <w:szCs w:val="27"/>
          <w:lang w:val="en-US"/>
        </w:rPr>
        <w:t>Hence, this study has the five following objectives:</w:t>
      </w:r>
    </w:p>
    <w:p w14:paraId="6169C568" w14:textId="77777777" w:rsidR="00180691" w:rsidRPr="006E1F88" w:rsidRDefault="00180691" w:rsidP="00180691">
      <w:pPr>
        <w:pStyle w:val="CommentText"/>
        <w:rPr>
          <w:rFonts w:ascii="Georgia" w:hAnsi="Georgia"/>
          <w:color w:val="2E2E2E"/>
          <w:sz w:val="27"/>
          <w:szCs w:val="27"/>
          <w:lang w:val="en-US"/>
        </w:rPr>
      </w:pPr>
    </w:p>
    <w:p w14:paraId="31C70471" w14:textId="77777777" w:rsidR="00180691" w:rsidRDefault="00180691" w:rsidP="00180691">
      <w:pPr>
        <w:pStyle w:val="CommentText"/>
        <w:rPr>
          <w:rFonts w:ascii="Georgia" w:hAnsi="Georgia"/>
          <w:color w:val="2E2E2E"/>
          <w:sz w:val="27"/>
          <w:szCs w:val="27"/>
          <w:lang w:val="en-US"/>
        </w:rPr>
      </w:pPr>
      <w:r w:rsidRPr="00262AD0">
        <w:rPr>
          <w:rFonts w:ascii="Georgia" w:hAnsi="Georgia"/>
          <w:color w:val="2E2E2E"/>
          <w:sz w:val="27"/>
          <w:szCs w:val="27"/>
          <w:lang w:val="en-US"/>
        </w:rPr>
        <w:t>A submersible, portable multi-parameter UV–Vis probe (</w:t>
      </w:r>
      <w:proofErr w:type="spellStart"/>
      <w:proofErr w:type="gramStart"/>
      <w:r w:rsidRPr="00262AD0">
        <w:rPr>
          <w:rFonts w:ascii="Georgia" w:hAnsi="Georgia"/>
          <w:color w:val="2E2E2E"/>
          <w:sz w:val="27"/>
          <w:szCs w:val="27"/>
          <w:lang w:val="en-US"/>
        </w:rPr>
        <w:t>spectro</w:t>
      </w:r>
      <w:proofErr w:type="spellEnd"/>
      <w:r w:rsidRPr="00262AD0">
        <w:rPr>
          <w:rFonts w:ascii="Georgia" w:hAnsi="Georgia"/>
          <w:color w:val="2E2E2E"/>
          <w:sz w:val="27"/>
          <w:szCs w:val="27"/>
          <w:lang w:val="en-US"/>
        </w:rPr>
        <w:t>::</w:t>
      </w:r>
      <w:proofErr w:type="spellStart"/>
      <w:proofErr w:type="gramEnd"/>
      <w:r w:rsidRPr="00262AD0">
        <w:rPr>
          <w:rFonts w:ascii="Georgia" w:hAnsi="Georgia"/>
          <w:color w:val="2E2E2E"/>
          <w:sz w:val="27"/>
          <w:szCs w:val="27"/>
          <w:lang w:val="en-US"/>
        </w:rPr>
        <w:t>lyser</w:t>
      </w:r>
      <w:proofErr w:type="spellEnd"/>
      <w:r w:rsidRPr="00262AD0">
        <w:rPr>
          <w:rFonts w:ascii="Georgia" w:hAnsi="Georgia"/>
          <w:color w:val="2E2E2E"/>
          <w:sz w:val="27"/>
          <w:szCs w:val="27"/>
          <w:lang w:val="en-US"/>
        </w:rPr>
        <w:t xml:space="preserve">, s::can </w:t>
      </w:r>
      <w:proofErr w:type="spellStart"/>
      <w:r w:rsidRPr="00262AD0">
        <w:rPr>
          <w:rFonts w:ascii="Georgia" w:hAnsi="Georgia"/>
          <w:color w:val="2E2E2E"/>
          <w:sz w:val="27"/>
          <w:szCs w:val="27"/>
          <w:lang w:val="en-US"/>
        </w:rPr>
        <w:t>Messtechnik</w:t>
      </w:r>
      <w:proofErr w:type="spellEnd"/>
      <w:r w:rsidRPr="00262AD0">
        <w:rPr>
          <w:rFonts w:ascii="Georgia" w:hAnsi="Georgia"/>
          <w:color w:val="2E2E2E"/>
          <w:sz w:val="27"/>
          <w:szCs w:val="27"/>
          <w:lang w:val="en-US"/>
        </w:rPr>
        <w:t xml:space="preserve"> GmbH, Austria) was used for the high-resolution spectroscopic measurements.</w:t>
      </w:r>
    </w:p>
    <w:p w14:paraId="3B023ED7" w14:textId="77777777" w:rsidR="00180691" w:rsidRDefault="00180691" w:rsidP="00180691">
      <w:pPr>
        <w:pStyle w:val="CommentText"/>
        <w:rPr>
          <w:rFonts w:ascii="Georgia" w:hAnsi="Georgia"/>
          <w:color w:val="2E2E2E"/>
          <w:sz w:val="27"/>
          <w:szCs w:val="27"/>
          <w:lang w:val="en-US"/>
        </w:rPr>
      </w:pPr>
    </w:p>
    <w:p w14:paraId="60318523" w14:textId="77777777" w:rsidR="00180691" w:rsidRPr="00691769" w:rsidRDefault="00180691" w:rsidP="00180691">
      <w:pPr>
        <w:pStyle w:val="CommentText"/>
        <w:rPr>
          <w:lang w:val="en-US"/>
        </w:rPr>
      </w:pPr>
      <w:r w:rsidRPr="00691769">
        <w:rPr>
          <w:rFonts w:ascii="Georgia" w:hAnsi="Georgia"/>
          <w:color w:val="2E2E2E"/>
          <w:sz w:val="27"/>
          <w:szCs w:val="27"/>
          <w:lang w:val="en-US"/>
        </w:rPr>
        <w:t>Using the manufacturer’s default global calibration, it is possible to simultaneously estimate the concentrations of </w:t>
      </w:r>
      <w:hyperlink r:id="rId5" w:tooltip="Learn more about Total Organic Carbon from ScienceDirect's AI-generated Topic Pages" w:history="1">
        <w:r w:rsidRPr="00691769">
          <w:rPr>
            <w:rStyle w:val="Hyperlink"/>
            <w:rFonts w:ascii="Georgia" w:hAnsi="Georgia"/>
            <w:color w:val="0C7DBB"/>
            <w:sz w:val="27"/>
            <w:szCs w:val="27"/>
            <w:lang w:val="en-US"/>
          </w:rPr>
          <w:t>total organic carbon</w:t>
        </w:r>
      </w:hyperlink>
      <w:r w:rsidRPr="00691769">
        <w:rPr>
          <w:rFonts w:ascii="Georgia" w:hAnsi="Georgia"/>
          <w:color w:val="2E2E2E"/>
          <w:sz w:val="27"/>
          <w:szCs w:val="27"/>
          <w:lang w:val="en-US"/>
        </w:rPr>
        <w:t> (TOC), DOC and nitrate and the turbidity of the sample. In the global calibration, the DOC concentrations are calculated using multi-wavelength algorithms of a turbidity-compensated absorbance fingerprint. The details of the multi-wavelength algorithms are not provided by the manufacturer. According to </w:t>
      </w:r>
      <w:bookmarkStart w:id="0" w:name="bb0130"/>
      <w:proofErr w:type="spellStart"/>
      <w:r>
        <w:fldChar w:fldCharType="begin"/>
      </w:r>
      <w:r w:rsidRPr="00691769">
        <w:rPr>
          <w:lang w:val="en-US"/>
        </w:rPr>
        <w:instrText xml:space="preserve"> HYPERLINK "https://www.sciencedirect.com/science/article/pii/S0022169414004247" \l "b0130" </w:instrText>
      </w:r>
      <w:r>
        <w:fldChar w:fldCharType="separate"/>
      </w:r>
      <w:r w:rsidRPr="00691769">
        <w:rPr>
          <w:rStyle w:val="Hyperlink"/>
          <w:rFonts w:ascii="Georgia" w:hAnsi="Georgia"/>
          <w:color w:val="0C7DBB"/>
          <w:sz w:val="27"/>
          <w:szCs w:val="27"/>
          <w:lang w:val="en-US"/>
        </w:rPr>
        <w:t>Langergraber</w:t>
      </w:r>
      <w:proofErr w:type="spellEnd"/>
      <w:r w:rsidRPr="00691769">
        <w:rPr>
          <w:rStyle w:val="Hyperlink"/>
          <w:rFonts w:ascii="Georgia" w:hAnsi="Georgia"/>
          <w:color w:val="0C7DBB"/>
          <w:sz w:val="27"/>
          <w:szCs w:val="27"/>
          <w:lang w:val="en-US"/>
        </w:rPr>
        <w:t xml:space="preserve"> et al. (2003)</w:t>
      </w:r>
      <w:r>
        <w:fldChar w:fldCharType="end"/>
      </w:r>
      <w:r w:rsidRPr="00691769">
        <w:rPr>
          <w:rFonts w:ascii="Georgia" w:hAnsi="Georgia"/>
          <w:color w:val="2E2E2E"/>
          <w:sz w:val="27"/>
          <w:szCs w:val="27"/>
          <w:lang w:val="en-US"/>
        </w:rPr>
        <w:t> the algorithms were created based on the UV–</w:t>
      </w:r>
      <w:proofErr w:type="gramStart"/>
      <w:r w:rsidRPr="00691769">
        <w:rPr>
          <w:rFonts w:ascii="Georgia" w:hAnsi="Georgia"/>
          <w:color w:val="2E2E2E"/>
          <w:sz w:val="27"/>
          <w:szCs w:val="27"/>
          <w:lang w:val="en-US"/>
        </w:rPr>
        <w:t>Vis</w:t>
      </w:r>
      <w:proofErr w:type="gramEnd"/>
      <w:r w:rsidRPr="00691769">
        <w:rPr>
          <w:rFonts w:ascii="Georgia" w:hAnsi="Georgia"/>
          <w:color w:val="2E2E2E"/>
          <w:sz w:val="27"/>
          <w:szCs w:val="27"/>
          <w:lang w:val="en-US"/>
        </w:rPr>
        <w:t xml:space="preserve"> spectra and reference DOC values. The turbidity-compensated fingerprint is calculated based on the relationship between the wavelength and scattering intensity as a function of the particle diameter, as described by </w:t>
      </w:r>
      <w:bookmarkStart w:id="1" w:name="bb0100"/>
      <w:r>
        <w:fldChar w:fldCharType="begin"/>
      </w:r>
      <w:r w:rsidRPr="00691769">
        <w:rPr>
          <w:lang w:val="en-US"/>
        </w:rPr>
        <w:instrText xml:space="preserve"> HYPERLINK "https://www.sciencedirect.com/science/article/pii/S0022169414004247" \l "b0100" </w:instrText>
      </w:r>
      <w:r>
        <w:fldChar w:fldCharType="separate"/>
      </w:r>
      <w:r w:rsidRPr="00691769">
        <w:rPr>
          <w:rStyle w:val="Hyperlink"/>
          <w:rFonts w:ascii="Georgia" w:hAnsi="Georgia"/>
          <w:color w:val="0C7DBB"/>
          <w:sz w:val="27"/>
          <w:szCs w:val="27"/>
          <w:lang w:val="en-US"/>
        </w:rPr>
        <w:t>Huber and Frost (1998)</w:t>
      </w:r>
      <w:r>
        <w:fldChar w:fldCharType="end"/>
      </w:r>
      <w:bookmarkEnd w:id="1"/>
      <w:r w:rsidRPr="00691769">
        <w:rPr>
          <w:rFonts w:ascii="Georgia" w:hAnsi="Georgia"/>
          <w:color w:val="2E2E2E"/>
          <w:sz w:val="27"/>
          <w:szCs w:val="27"/>
          <w:lang w:val="en-US"/>
        </w:rPr>
        <w:t> (cited by </w:t>
      </w:r>
      <w:proofErr w:type="spellStart"/>
      <w:r>
        <w:fldChar w:fldCharType="begin"/>
      </w:r>
      <w:r w:rsidRPr="00AA47EA">
        <w:rPr>
          <w:lang w:val="en-US"/>
        </w:rPr>
        <w:instrText xml:space="preserve"> HYPERLINK "https://www.sciencedirect.com/science/article/pii/S0022169414004247" \l "b0130" </w:instrText>
      </w:r>
      <w:r>
        <w:fldChar w:fldCharType="separate"/>
      </w:r>
      <w:r w:rsidRPr="00691769">
        <w:rPr>
          <w:rStyle w:val="Hyperlink"/>
          <w:rFonts w:ascii="Georgia" w:hAnsi="Georgia"/>
          <w:color w:val="0C7DBB"/>
          <w:sz w:val="27"/>
          <w:szCs w:val="27"/>
          <w:lang w:val="en-US"/>
        </w:rPr>
        <w:t>Langergraber</w:t>
      </w:r>
      <w:proofErr w:type="spellEnd"/>
      <w:r w:rsidRPr="00691769">
        <w:rPr>
          <w:rStyle w:val="Hyperlink"/>
          <w:rFonts w:ascii="Georgia" w:hAnsi="Georgia"/>
          <w:color w:val="0C7DBB"/>
          <w:sz w:val="27"/>
          <w:szCs w:val="27"/>
          <w:lang w:val="en-US"/>
        </w:rPr>
        <w:t xml:space="preserve"> et al., 2003</w:t>
      </w:r>
      <w:r>
        <w:rPr>
          <w:rStyle w:val="Hyperlink"/>
          <w:rFonts w:ascii="Georgia" w:hAnsi="Georgia"/>
          <w:color w:val="0C7DBB"/>
          <w:sz w:val="27"/>
          <w:szCs w:val="27"/>
          <w:lang w:val="en-US"/>
        </w:rPr>
        <w:fldChar w:fldCharType="end"/>
      </w:r>
      <w:bookmarkEnd w:id="0"/>
      <w:r w:rsidRPr="00691769">
        <w:rPr>
          <w:rFonts w:ascii="Georgia" w:hAnsi="Georgia"/>
          <w:color w:val="2E2E2E"/>
          <w:sz w:val="27"/>
          <w:szCs w:val="27"/>
          <w:lang w:val="en-US"/>
        </w:rPr>
        <w:t>).</w:t>
      </w:r>
    </w:p>
    <w:p w14:paraId="134B8277" w14:textId="77777777" w:rsidR="00B00DDA" w:rsidRPr="00180691" w:rsidRDefault="00B00DDA">
      <w:pPr>
        <w:rPr>
          <w:lang w:val="en-US"/>
        </w:rPr>
      </w:pPr>
    </w:p>
    <w:sectPr w:rsidR="00B00DDA" w:rsidRPr="00180691" w:rsidSect="00C5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1"/>
    <w:rsid w:val="00180691"/>
    <w:rsid w:val="00284FCA"/>
    <w:rsid w:val="00B00DDA"/>
    <w:rsid w:val="00C55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642F"/>
  <w15:chartTrackingRefBased/>
  <w15:docId w15:val="{BECCE8F3-0536-4D33-B9C3-C61B4AC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0691"/>
    <w:rPr>
      <w:sz w:val="16"/>
      <w:szCs w:val="16"/>
    </w:rPr>
  </w:style>
  <w:style w:type="paragraph" w:styleId="CommentText">
    <w:name w:val="annotation text"/>
    <w:basedOn w:val="Normal"/>
    <w:link w:val="CommentTextChar"/>
    <w:uiPriority w:val="99"/>
    <w:semiHidden/>
    <w:unhideWhenUsed/>
    <w:rsid w:val="00180691"/>
    <w:pPr>
      <w:spacing w:line="240" w:lineRule="auto"/>
    </w:pPr>
    <w:rPr>
      <w:sz w:val="20"/>
      <w:szCs w:val="20"/>
    </w:rPr>
  </w:style>
  <w:style w:type="character" w:customStyle="1" w:styleId="CommentTextChar">
    <w:name w:val="Comment Text Char"/>
    <w:basedOn w:val="DefaultParagraphFont"/>
    <w:link w:val="CommentText"/>
    <w:uiPriority w:val="99"/>
    <w:semiHidden/>
    <w:rsid w:val="00180691"/>
    <w:rPr>
      <w:sz w:val="20"/>
      <w:szCs w:val="20"/>
    </w:rPr>
  </w:style>
  <w:style w:type="character" w:styleId="Hyperlink">
    <w:name w:val="Hyperlink"/>
    <w:basedOn w:val="DefaultParagraphFont"/>
    <w:uiPriority w:val="99"/>
    <w:unhideWhenUsed/>
    <w:rsid w:val="001806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earth-and-planetary-sciences/total-organic-carbon" TargetMode="External"/><Relationship Id="rId4" Type="http://schemas.openxmlformats.org/officeDocument/2006/relationships/hyperlink" Target="https://www.sciencedirect.com/topics/earth-and-planetary-sciences/anthropogenic-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306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Kriddie Whitmore</dc:creator>
  <cp:keywords/>
  <dc:description/>
  <cp:lastModifiedBy>Kriddie Whitmore</cp:lastModifiedBy>
  <cp:revision>1</cp:revision>
  <dcterms:created xsi:type="dcterms:W3CDTF">2021-03-26T01:08:00Z</dcterms:created>
  <dcterms:modified xsi:type="dcterms:W3CDTF">2021-03-27T14:03:00Z</dcterms:modified>
</cp:coreProperties>
</file>