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39" w:rsidRDefault="00B85939" w:rsidP="00342D0F">
      <w:pPr>
        <w:pStyle w:val="Heading1"/>
        <w:rPr>
          <w:rFonts w:eastAsia="Times New Roman"/>
        </w:rPr>
      </w:pPr>
      <w:bookmarkStart w:id="0" w:name="_Toc488673695"/>
      <w:bookmarkStart w:id="1" w:name="_Ref19852129"/>
      <w:r>
        <w:rPr>
          <w:rFonts w:eastAsia="Times New Roman"/>
        </w:rPr>
        <w:t>3 Estudo de caso: mec e inep</w:t>
      </w:r>
    </w:p>
    <w:p w:rsidR="00B85939" w:rsidRPr="00342D0F" w:rsidRDefault="00B85939" w:rsidP="00342D0F">
      <w:pPr>
        <w:spacing w:after="168"/>
      </w:pPr>
      <w:r>
        <w:tab/>
        <w:t>Nessa seção serão explicadas os trabalhos semelhantes a este e uma explicação sobre o MEC e o INEP.</w:t>
      </w:r>
    </w:p>
    <w:p w:rsidR="00B85939" w:rsidRPr="00342D0F" w:rsidRDefault="00B85939" w:rsidP="00342D0F">
      <w:pPr>
        <w:spacing w:after="168"/>
      </w:pPr>
      <w:r>
        <w:t>3.1 Demandas e observações sobre os dados do INEP</w:t>
      </w:r>
    </w:p>
    <w:p w:rsidR="00B85939" w:rsidRDefault="00B85939" w:rsidP="00342D0F">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B85939" w:rsidRDefault="00B85939" w:rsidP="00342D0F">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B85939" w:rsidRDefault="00B85939" w:rsidP="00342D0F">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B85939" w:rsidRPr="00342D0F" w:rsidRDefault="00B85939" w:rsidP="00342D0F">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Em virtude disso, nosso trabalho traz a contribuição de uma análise com uma alta especificação, focada no panorama da atuação do aluno negro voltada ao recorte temporal de </w:t>
      </w:r>
      <w:smartTag w:uri="urn:schemas-microsoft-com:office:smarttags" w:element="metricconverter">
        <w:smartTagPr>
          <w:attr w:name="ProductID" w:val="2015 a"/>
        </w:smartTagPr>
        <w:r>
          <w:t>2015 a</w:t>
        </w:r>
      </w:smartTag>
      <w:r>
        <w:t xml:space="preserve"> 2018 no contexto da educação básica brasileira utilizando a base de micro dados do Censo Escolar do INEP.</w:t>
      </w:r>
      <w:bookmarkStart w:id="2" w:name="_GoBack"/>
      <w:bookmarkEnd w:id="2"/>
    </w:p>
    <w:p w:rsidR="00B85939" w:rsidRPr="002A0DA0" w:rsidRDefault="00B85939" w:rsidP="00342D0F">
      <w:pPr>
        <w:keepNext/>
        <w:widowControl w:val="0"/>
        <w:tabs>
          <w:tab w:val="num" w:pos="0"/>
        </w:tabs>
        <w:overflowPunct w:val="0"/>
        <w:autoSpaceDE w:val="0"/>
        <w:spacing w:before="100" w:beforeAutospacing="1" w:afterLines="0" w:afterAutospacing="1"/>
        <w:jc w:val="left"/>
        <w:outlineLvl w:val="1"/>
        <w:rPr>
          <w:rFonts w:cs="Arial"/>
          <w:bCs/>
          <w:caps/>
          <w:kern w:val="28"/>
          <w:szCs w:val="28"/>
          <w:lang w:eastAsia="ar-SA"/>
        </w:rPr>
      </w:pPr>
      <w:r>
        <w:rPr>
          <w:rFonts w:cs="Arial"/>
          <w:bCs/>
          <w:caps/>
          <w:kern w:val="28"/>
          <w:szCs w:val="28"/>
          <w:lang w:eastAsia="ar-SA"/>
        </w:rPr>
        <w:t>3.2</w:t>
      </w:r>
      <w:r w:rsidRPr="00342D0F">
        <w:rPr>
          <w:rFonts w:cs="Arial"/>
          <w:bCs/>
          <w:caps/>
          <w:kern w:val="28"/>
          <w:szCs w:val="28"/>
          <w:lang w:eastAsia="ar-SA"/>
        </w:rPr>
        <w:t xml:space="preserve"> MEC e INEP</w:t>
      </w:r>
    </w:p>
    <w:p w:rsidR="00B85939" w:rsidRPr="00342D0F" w:rsidRDefault="00B85939" w:rsidP="00342D0F">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podemos ver pelo nome, a educação não era o único foco de atividade. Apenas em 1995, no governo de Fernando Henrique Cardoso, a educação ficou exclusiva ao ministério. A sigla MEC surgiu em 1953, quando se criou o Ministério da Educação e Cultura.</w:t>
      </w:r>
    </w:p>
    <w:p w:rsidR="00B85939" w:rsidRPr="00342D0F" w:rsidRDefault="00B85939" w:rsidP="00342D0F">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B85939" w:rsidRPr="00342D0F" w:rsidRDefault="00B85939" w:rsidP="00342D0F">
      <w:pPr>
        <w:spacing w:after="168"/>
        <w:ind w:firstLine="708"/>
        <w:rPr>
          <w:rFonts w:cs="Arial"/>
          <w:szCs w:val="24"/>
        </w:rPr>
      </w:pPr>
      <w:r w:rsidRPr="00342D0F">
        <w:rPr>
          <w:rFonts w:cs="Arial"/>
          <w:szCs w:val="24"/>
        </w:rPr>
        <w:t xml:space="preserve">Em </w:t>
      </w:r>
      <w:smartTag w:uri="urn:schemas-microsoft-com:office:smarttags" w:element="metricconverter">
        <w:smartTagPr>
          <w:attr w:name="ProductID" w:val="2015 a"/>
        </w:smartTagPr>
        <w:r w:rsidRPr="00342D0F">
          <w:rPr>
            <w:rFonts w:cs="Arial"/>
            <w:szCs w:val="24"/>
          </w:rPr>
          <w:t>2015 a</w:t>
        </w:r>
      </w:smartTag>
      <w:r w:rsidRPr="00342D0F">
        <w:rPr>
          <w:rFonts w:cs="Arial"/>
          <w:szCs w:val="24"/>
        </w:rPr>
        <w:t xml:space="preserve"> primeira versão da BNCC (</w:t>
      </w:r>
      <w:r w:rsidRPr="00342D0F">
        <w:rPr>
          <w:rFonts w:cs="Arial"/>
          <w:color w:val="373737"/>
          <w:szCs w:val="24"/>
        </w:rPr>
        <w:t>Base Nacional Comum Curricular</w:t>
      </w:r>
      <w:r w:rsidRPr="00342D0F">
        <w:rPr>
          <w:rFonts w:cs="Arial"/>
          <w:szCs w:val="24"/>
        </w:rPr>
        <w:t>) é disponibilizada, uma pauta muito debatida e importante para nossa educação, somente em 2017 ela foi homologada para Ensino Básico e um ano depois, para o Ensino Médio.</w:t>
      </w:r>
    </w:p>
    <w:p w:rsidR="00B85939" w:rsidRPr="00342D0F" w:rsidRDefault="00B85939" w:rsidP="00342D0F">
      <w:pPr>
        <w:spacing w:after="168"/>
        <w:ind w:left="708"/>
        <w:rPr>
          <w:rFonts w:cs="Arial"/>
        </w:rPr>
      </w:pPr>
      <w:r w:rsidRPr="00342D0F">
        <w:rPr>
          <w:rFonts w:cs="Arial"/>
          <w:color w:val="00000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342D0F">
        <w:rPr>
          <w:rFonts w:cs="Arial"/>
        </w:rPr>
        <w:t xml:space="preserve"> (MEC, 2015).</w:t>
      </w:r>
    </w:p>
    <w:p w:rsidR="00B85939" w:rsidRPr="00342D0F" w:rsidRDefault="00B85939" w:rsidP="00342D0F">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B85939" w:rsidRPr="00342D0F" w:rsidRDefault="00B85939" w:rsidP="00342D0F">
      <w:pPr>
        <w:spacing w:after="168"/>
        <w:ind w:left="708"/>
        <w:rPr>
          <w:rFonts w:cs="Arial"/>
          <w:color w:val="000000"/>
        </w:rPr>
      </w:pPr>
      <w:r w:rsidRPr="00342D0F">
        <w:rPr>
          <w:rFonts w:cs="Arial"/>
          <w:color w:val="00000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342D0F">
        <w:rPr>
          <w:rFonts w:cs="Arial"/>
          <w:color w:val="00000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B85939" w:rsidRPr="00342D0F" w:rsidRDefault="00B85939" w:rsidP="00342D0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período de dificuldades que passou, e tinha dois objetivos, que eram reorientação das políticas de apoio a pesquisas educacionais e o reforço do processo de disseminação de informações educacionais.</w:t>
      </w:r>
    </w:p>
    <w:p w:rsidR="00B85939" w:rsidRPr="00342D0F" w:rsidRDefault="00B85939" w:rsidP="00342D0F">
      <w:pPr>
        <w:spacing w:after="168"/>
        <w:rPr>
          <w:rFonts w:cs="Arial"/>
          <w:color w:val="000000"/>
          <w:szCs w:val="24"/>
        </w:rPr>
      </w:pPr>
      <w:r w:rsidRPr="00342D0F">
        <w:rPr>
          <w:rFonts w:cs="Arial"/>
          <w:color w:val="000000"/>
          <w:szCs w:val="24"/>
        </w:rPr>
        <w:tab/>
        <w:t>O INEP que conhecemos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B85939" w:rsidRPr="00342D0F" w:rsidRDefault="00B85939" w:rsidP="002A0DA0">
      <w:pPr>
        <w:spacing w:after="168"/>
        <w:rPr>
          <w:rFonts w:cs="Arial"/>
          <w:color w:val="000000"/>
          <w:szCs w:val="24"/>
        </w:rPr>
      </w:pPr>
      <w:r>
        <w:rPr>
          <w:rFonts w:cs="Arial"/>
          <w:color w:val="000000"/>
          <w:szCs w:val="24"/>
        </w:rPr>
        <w:t xml:space="preserve">3.3 </w:t>
      </w:r>
      <w:r w:rsidRPr="00342D0F">
        <w:rPr>
          <w:rFonts w:cs="Arial"/>
          <w:color w:val="000000"/>
          <w:szCs w:val="24"/>
        </w:rPr>
        <w:t>Como os dados são coletados e disponibilizados</w:t>
      </w:r>
    </w:p>
    <w:p w:rsidR="00B85939" w:rsidRPr="00342D0F" w:rsidRDefault="00B85939" w:rsidP="00342D0F">
      <w:pPr>
        <w:suppressAutoHyphens/>
        <w:spacing w:afterLines="0"/>
        <w:ind w:firstLine="708"/>
        <w:rPr>
          <w:rFonts w:eastAsia="Times New Roman" w:cs="Arial"/>
          <w:caps/>
          <w:szCs w:val="24"/>
          <w:lang w:eastAsia="ar-SA"/>
        </w:rPr>
      </w:pPr>
      <w:r w:rsidRPr="00342D0F">
        <w:rPr>
          <w:rFonts w:eastAsia="Times New Roman" w:cs="Arial"/>
          <w:color w:val="000000"/>
          <w:szCs w:val="24"/>
          <w:lang w:eastAsia="ar-SA"/>
        </w:rPr>
        <w:t>Os dados oferecidos pelo MEC, INEP e outros órgãos do governo são dados abertos, o que significa que estão disponíveis para todos usarem e também redistribuírem como quiserem, sem restrição de patentes, licenças ou parecido</w:t>
      </w:r>
      <w:r w:rsidRPr="00342D0F">
        <w:rPr>
          <w:rFonts w:eastAsia="Times New Roman" w:cs="Arial"/>
          <w:caps/>
          <w:color w:val="000000"/>
          <w:szCs w:val="24"/>
          <w:lang w:eastAsia="ar-SA"/>
        </w:rPr>
        <w:t xml:space="preserve">. </w:t>
      </w:r>
      <w:r w:rsidRPr="00342D0F">
        <w:rPr>
          <w:rFonts w:eastAsia="Times New Roman" w:cs="Arial"/>
          <w:szCs w:val="24"/>
          <w:lang w:eastAsia="ar-SA"/>
        </w:rPr>
        <w:t xml:space="preserve">Cada órgão disponibiliza os seus dados de acordo com seu </w:t>
      </w:r>
      <w:r>
        <w:rPr>
          <w:rFonts w:eastAsia="Times New Roman" w:cs="Arial"/>
          <w:szCs w:val="24"/>
          <w:lang w:eastAsia="ar-SA"/>
        </w:rPr>
        <w:t>Plano de Dados A</w:t>
      </w:r>
      <w:r w:rsidRPr="00342D0F">
        <w:rPr>
          <w:rFonts w:eastAsia="Times New Roman" w:cs="Arial"/>
          <w:szCs w:val="24"/>
          <w:lang w:eastAsia="ar-SA"/>
        </w:rPr>
        <w:t>bertos (</w:t>
      </w:r>
      <w:r w:rsidRPr="00342D0F">
        <w:rPr>
          <w:rFonts w:eastAsia="Times New Roman" w:cs="Arial"/>
          <w:i/>
          <w:szCs w:val="24"/>
          <w:lang w:eastAsia="ar-SA"/>
        </w:rPr>
        <w:t>PDA</w:t>
      </w:r>
      <w:r w:rsidRPr="00342D0F">
        <w:rPr>
          <w:rFonts w:eastAsia="Times New Roman" w:cs="Arial"/>
          <w:szCs w:val="24"/>
          <w:lang w:eastAsia="ar-SA"/>
        </w:rPr>
        <w:t>) e é responsável pela catalogação do mesmo.</w:t>
      </w:r>
    </w:p>
    <w:p w:rsidR="00B85939" w:rsidRPr="00342D0F" w:rsidRDefault="00B85939" w:rsidP="00342D0F">
      <w:pPr>
        <w:spacing w:after="168"/>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B85939" w:rsidRPr="002A0DA0" w:rsidRDefault="00B85939" w:rsidP="002A0DA0">
      <w:pPr>
        <w:numPr>
          <w:ilvl w:val="0"/>
          <w:numId w:val="2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B85939" w:rsidRPr="002A0DA0"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B85939" w:rsidRPr="002A0DA0"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B85939"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B85939"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B85939"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B85939"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B85939" w:rsidRPr="002A0DA0" w:rsidRDefault="00B85939"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restrições como dito no parágrafo acima.</w:t>
      </w:r>
    </w:p>
    <w:p w:rsidR="00B85939" w:rsidRDefault="00B85939" w:rsidP="006202A7">
      <w:pPr>
        <w:pStyle w:val="Heading1"/>
        <w:rPr>
          <w:rFonts w:eastAsia="Times New Roman"/>
        </w:rPr>
      </w:pPr>
    </w:p>
    <w:p w:rsidR="00B85939" w:rsidRDefault="00B85939" w:rsidP="006202A7">
      <w:pPr>
        <w:pStyle w:val="Heading1"/>
        <w:rPr>
          <w:rFonts w:eastAsia="Times New Roman"/>
        </w:rPr>
      </w:pPr>
    </w:p>
    <w:sectPr w:rsidR="00B85939" w:rsidSect="008916A9">
      <w:headerReference w:type="default" r:id="rId7"/>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939" w:rsidRDefault="00B85939" w:rsidP="00CD7207">
      <w:pPr>
        <w:spacing w:after="168" w:line="240" w:lineRule="auto"/>
      </w:pPr>
      <w:r>
        <w:separator/>
      </w:r>
    </w:p>
  </w:endnote>
  <w:endnote w:type="continuationSeparator" w:id="0">
    <w:p w:rsidR="00B85939" w:rsidRDefault="00B85939" w:rsidP="00CD7207">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939" w:rsidRDefault="00B85939" w:rsidP="00CD7207">
      <w:pPr>
        <w:spacing w:after="168" w:line="240" w:lineRule="auto"/>
      </w:pPr>
      <w:r>
        <w:separator/>
      </w:r>
    </w:p>
  </w:footnote>
  <w:footnote w:type="continuationSeparator" w:id="0">
    <w:p w:rsidR="00B85939" w:rsidRDefault="00B85939" w:rsidP="00CD7207">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939" w:rsidRPr="001D4D23" w:rsidRDefault="00B85939" w:rsidP="001D4D23">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4">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3"/>
  </w:num>
  <w:num w:numId="8">
    <w:abstractNumId w:val="16"/>
  </w:num>
  <w:num w:numId="9">
    <w:abstractNumId w:val="5"/>
  </w:num>
  <w:num w:numId="10">
    <w:abstractNumId w:val="15"/>
  </w:num>
  <w:num w:numId="11">
    <w:abstractNumId w:val="10"/>
  </w:num>
  <w:num w:numId="12">
    <w:abstractNumId w:val="12"/>
  </w:num>
  <w:num w:numId="13">
    <w:abstractNumId w:val="8"/>
  </w:num>
  <w:num w:numId="14">
    <w:abstractNumId w:val="21"/>
  </w:num>
  <w:num w:numId="15">
    <w:abstractNumId w:val="3"/>
  </w:num>
  <w:num w:numId="16">
    <w:abstractNumId w:val="11"/>
  </w:num>
  <w:num w:numId="17">
    <w:abstractNumId w:val="14"/>
  </w:num>
  <w:num w:numId="18">
    <w:abstractNumId w:val="7"/>
  </w:num>
  <w:num w:numId="19">
    <w:abstractNumId w:val="18"/>
  </w:num>
  <w:num w:numId="20">
    <w:abstractNumId w:val="2"/>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9C7"/>
    <w:rsid w:val="000178A6"/>
    <w:rsid w:val="00030BF1"/>
    <w:rsid w:val="00031D61"/>
    <w:rsid w:val="00046816"/>
    <w:rsid w:val="0005253D"/>
    <w:rsid w:val="00053D3A"/>
    <w:rsid w:val="000701C8"/>
    <w:rsid w:val="000815E1"/>
    <w:rsid w:val="000B1D44"/>
    <w:rsid w:val="000B4754"/>
    <w:rsid w:val="000B4DAA"/>
    <w:rsid w:val="000D337E"/>
    <w:rsid w:val="000F6285"/>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2ACC"/>
    <w:rsid w:val="001E3309"/>
    <w:rsid w:val="001E4967"/>
    <w:rsid w:val="001E658B"/>
    <w:rsid w:val="00221216"/>
    <w:rsid w:val="00260107"/>
    <w:rsid w:val="00265614"/>
    <w:rsid w:val="002706F4"/>
    <w:rsid w:val="00273341"/>
    <w:rsid w:val="0029161A"/>
    <w:rsid w:val="002A0DA0"/>
    <w:rsid w:val="002A7323"/>
    <w:rsid w:val="002C2D7C"/>
    <w:rsid w:val="002C33C1"/>
    <w:rsid w:val="002C4A86"/>
    <w:rsid w:val="002D6076"/>
    <w:rsid w:val="002F23AE"/>
    <w:rsid w:val="00314317"/>
    <w:rsid w:val="003329E7"/>
    <w:rsid w:val="00336F1A"/>
    <w:rsid w:val="00342D0F"/>
    <w:rsid w:val="003437C3"/>
    <w:rsid w:val="0035356A"/>
    <w:rsid w:val="00356A33"/>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6CFA"/>
    <w:rsid w:val="0051362D"/>
    <w:rsid w:val="00522D94"/>
    <w:rsid w:val="00567FB8"/>
    <w:rsid w:val="00571704"/>
    <w:rsid w:val="00581F39"/>
    <w:rsid w:val="005848F8"/>
    <w:rsid w:val="00590B48"/>
    <w:rsid w:val="005C2D92"/>
    <w:rsid w:val="005C31DC"/>
    <w:rsid w:val="005D12C3"/>
    <w:rsid w:val="005D4B78"/>
    <w:rsid w:val="005D5DFB"/>
    <w:rsid w:val="005D60EB"/>
    <w:rsid w:val="005D7CF8"/>
    <w:rsid w:val="005F0F5E"/>
    <w:rsid w:val="006148E0"/>
    <w:rsid w:val="00614E77"/>
    <w:rsid w:val="006176C0"/>
    <w:rsid w:val="006202A7"/>
    <w:rsid w:val="00637AA8"/>
    <w:rsid w:val="00640C31"/>
    <w:rsid w:val="00646792"/>
    <w:rsid w:val="00656AC3"/>
    <w:rsid w:val="0065745F"/>
    <w:rsid w:val="00660635"/>
    <w:rsid w:val="00680B79"/>
    <w:rsid w:val="00682F9D"/>
    <w:rsid w:val="0068367C"/>
    <w:rsid w:val="006911DD"/>
    <w:rsid w:val="00696074"/>
    <w:rsid w:val="006C3D4C"/>
    <w:rsid w:val="006C6033"/>
    <w:rsid w:val="006C61ED"/>
    <w:rsid w:val="006C7770"/>
    <w:rsid w:val="006D48D8"/>
    <w:rsid w:val="006E145D"/>
    <w:rsid w:val="006E55D4"/>
    <w:rsid w:val="00701BAA"/>
    <w:rsid w:val="00711614"/>
    <w:rsid w:val="007177ED"/>
    <w:rsid w:val="00723934"/>
    <w:rsid w:val="0072771C"/>
    <w:rsid w:val="00736C86"/>
    <w:rsid w:val="00747603"/>
    <w:rsid w:val="00747F79"/>
    <w:rsid w:val="00753F60"/>
    <w:rsid w:val="00756901"/>
    <w:rsid w:val="00762022"/>
    <w:rsid w:val="00770267"/>
    <w:rsid w:val="007713FB"/>
    <w:rsid w:val="00773296"/>
    <w:rsid w:val="007735F7"/>
    <w:rsid w:val="00793C4B"/>
    <w:rsid w:val="007A2A4F"/>
    <w:rsid w:val="007B5A8E"/>
    <w:rsid w:val="007C3DC2"/>
    <w:rsid w:val="007D2C51"/>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40C99"/>
    <w:rsid w:val="00956B63"/>
    <w:rsid w:val="00960FCB"/>
    <w:rsid w:val="009857A9"/>
    <w:rsid w:val="00991E21"/>
    <w:rsid w:val="009A3B2F"/>
    <w:rsid w:val="009B735B"/>
    <w:rsid w:val="009D032F"/>
    <w:rsid w:val="009E22C9"/>
    <w:rsid w:val="009E24C2"/>
    <w:rsid w:val="009E5B6A"/>
    <w:rsid w:val="009F3AE4"/>
    <w:rsid w:val="00A04F1B"/>
    <w:rsid w:val="00A90976"/>
    <w:rsid w:val="00AA6010"/>
    <w:rsid w:val="00AB5378"/>
    <w:rsid w:val="00AD0D2F"/>
    <w:rsid w:val="00B26452"/>
    <w:rsid w:val="00B561AB"/>
    <w:rsid w:val="00B70994"/>
    <w:rsid w:val="00B828AC"/>
    <w:rsid w:val="00B83238"/>
    <w:rsid w:val="00B85939"/>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457C"/>
    <w:rsid w:val="00C92653"/>
    <w:rsid w:val="00C97774"/>
    <w:rsid w:val="00CA1EA9"/>
    <w:rsid w:val="00CA2943"/>
    <w:rsid w:val="00CA31B0"/>
    <w:rsid w:val="00CB1E8B"/>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6BF8"/>
    <w:rsid w:val="00D518B9"/>
    <w:rsid w:val="00D640D4"/>
    <w:rsid w:val="00D92396"/>
    <w:rsid w:val="00DA3527"/>
    <w:rsid w:val="00DA50BF"/>
    <w:rsid w:val="00DD650F"/>
    <w:rsid w:val="00DD7728"/>
    <w:rsid w:val="00DF307C"/>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3849"/>
    <w:rsid w:val="00FE5462"/>
    <w:rsid w:val="00FE5B25"/>
    <w:rsid w:val="00FF0AC2"/>
    <w:rsid w:val="00FF2C3B"/>
    <w:rsid w:val="00FF2E6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472D"/>
    <w:pPr>
      <w:spacing w:afterLines="70" w:line="360" w:lineRule="auto"/>
      <w:jc w:val="both"/>
    </w:pPr>
    <w:rPr>
      <w:rFonts w:ascii="Arial" w:hAnsi="Arial"/>
      <w:sz w:val="24"/>
      <w:lang w:eastAsia="en-US"/>
    </w:rPr>
  </w:style>
  <w:style w:type="paragraph" w:styleId="Heading1">
    <w:name w:val="heading 1"/>
    <w:basedOn w:val="Normal"/>
    <w:next w:val="Normal"/>
    <w:link w:val="Heading1Char"/>
    <w:uiPriority w:val="99"/>
    <w:qFormat/>
    <w:rsid w:val="003727CB"/>
    <w:pPr>
      <w:keepNext/>
      <w:keepLines/>
      <w:spacing w:before="100" w:beforeAutospacing="1" w:afterLines="0" w:afterAutospacing="1"/>
      <w:jc w:val="left"/>
      <w:outlineLvl w:val="0"/>
    </w:pPr>
    <w:rPr>
      <w:rFonts w:eastAsia="MS Gothic"/>
      <w:b/>
      <w:bCs/>
      <w:caps/>
      <w:szCs w:val="28"/>
    </w:rPr>
  </w:style>
  <w:style w:type="paragraph" w:styleId="Heading2">
    <w:name w:val="heading 2"/>
    <w:basedOn w:val="Heading1"/>
    <w:next w:val="Normal"/>
    <w:link w:val="Heading2Char"/>
    <w:uiPriority w:val="99"/>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Heading3">
    <w:name w:val="heading 3"/>
    <w:basedOn w:val="Normal"/>
    <w:next w:val="Normal"/>
    <w:link w:val="Heading3Char"/>
    <w:uiPriority w:val="99"/>
    <w:qFormat/>
    <w:rsid w:val="003727CB"/>
    <w:pPr>
      <w:keepNext/>
      <w:keepLines/>
      <w:spacing w:afterLines="0"/>
      <w:jc w:val="left"/>
      <w:outlineLvl w:val="2"/>
    </w:pPr>
    <w:rPr>
      <w:rFonts w:eastAsia="MS Gothic"/>
      <w:b/>
      <w:bCs/>
    </w:rPr>
  </w:style>
  <w:style w:type="paragraph" w:styleId="Heading4">
    <w:name w:val="heading 4"/>
    <w:basedOn w:val="Normal"/>
    <w:next w:val="Normal"/>
    <w:link w:val="Heading4Char"/>
    <w:uiPriority w:val="99"/>
    <w:qFormat/>
    <w:rsid w:val="00494681"/>
    <w:pPr>
      <w:keepNext/>
      <w:keepLines/>
      <w:spacing w:before="200" w:after="0"/>
      <w:jc w:val="left"/>
      <w:outlineLvl w:val="3"/>
    </w:pPr>
    <w:rPr>
      <w:rFonts w:ascii="Cambria" w:eastAsia="MS Gothic"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27CB"/>
    <w:rPr>
      <w:rFonts w:ascii="Arial" w:eastAsia="MS Gothic" w:hAnsi="Arial" w:cs="Times New Roman"/>
      <w:b/>
      <w:bCs/>
      <w:caps/>
      <w:sz w:val="28"/>
      <w:szCs w:val="28"/>
    </w:rPr>
  </w:style>
  <w:style w:type="character" w:customStyle="1" w:styleId="Heading2Char">
    <w:name w:val="Heading 2 Char"/>
    <w:basedOn w:val="DefaultParagraphFont"/>
    <w:link w:val="Heading2"/>
    <w:uiPriority w:val="99"/>
    <w:locked/>
    <w:rsid w:val="00494681"/>
    <w:rPr>
      <w:rFonts w:ascii="Arial" w:hAnsi="Arial" w:cs="Arial"/>
      <w:bCs/>
      <w:caps/>
      <w:kern w:val="28"/>
      <w:sz w:val="28"/>
      <w:szCs w:val="28"/>
      <w:lang w:eastAsia="ar-SA" w:bidi="ar-SA"/>
    </w:rPr>
  </w:style>
  <w:style w:type="character" w:customStyle="1" w:styleId="Heading3Char">
    <w:name w:val="Heading 3 Char"/>
    <w:basedOn w:val="DefaultParagraphFont"/>
    <w:link w:val="Heading3"/>
    <w:uiPriority w:val="99"/>
    <w:locked/>
    <w:rsid w:val="003727CB"/>
    <w:rPr>
      <w:rFonts w:ascii="Arial" w:eastAsia="MS Gothic" w:hAnsi="Arial" w:cs="Times New Roman"/>
      <w:b/>
      <w:bCs/>
      <w:sz w:val="24"/>
    </w:rPr>
  </w:style>
  <w:style w:type="character" w:customStyle="1" w:styleId="Heading4Char">
    <w:name w:val="Heading 4 Char"/>
    <w:basedOn w:val="DefaultParagraphFont"/>
    <w:link w:val="Heading4"/>
    <w:uiPriority w:val="99"/>
    <w:locked/>
    <w:rsid w:val="00494681"/>
    <w:rPr>
      <w:rFonts w:ascii="Cambria" w:eastAsia="MS Gothic" w:hAnsi="Cambria" w:cs="Times New Roman"/>
      <w:b/>
      <w:bCs/>
      <w:i/>
      <w:iCs/>
      <w:color w:val="4F81BD"/>
      <w:sz w:val="24"/>
    </w:rPr>
  </w:style>
  <w:style w:type="paragraph" w:styleId="NoSpacing">
    <w:name w:val="No Spacing"/>
    <w:aliases w:val="Capa"/>
    <w:next w:val="Normal"/>
    <w:uiPriority w:val="99"/>
    <w:qFormat/>
    <w:rsid w:val="00FF0AC2"/>
    <w:pPr>
      <w:suppressAutoHyphens/>
      <w:spacing w:line="360" w:lineRule="auto"/>
      <w:jc w:val="center"/>
    </w:pPr>
    <w:rPr>
      <w:rFonts w:ascii="Arial" w:eastAsia="Times New Roman" w:hAnsi="Arial"/>
      <w:b/>
      <w:caps/>
      <w:sz w:val="24"/>
      <w:szCs w:val="20"/>
      <w:lang w:eastAsia="ar-SA"/>
    </w:rPr>
  </w:style>
  <w:style w:type="paragraph" w:styleId="Header">
    <w:name w:val="header"/>
    <w:basedOn w:val="Normal"/>
    <w:link w:val="HeaderChar"/>
    <w:uiPriority w:val="99"/>
    <w:rsid w:val="00F629C7"/>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F629C7"/>
    <w:rPr>
      <w:rFonts w:cs="Times New Roman"/>
    </w:rPr>
  </w:style>
  <w:style w:type="paragraph" w:styleId="Footer">
    <w:name w:val="footer"/>
    <w:basedOn w:val="Normal"/>
    <w:link w:val="FooterChar"/>
    <w:uiPriority w:val="99"/>
    <w:rsid w:val="00F629C7"/>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F629C7"/>
    <w:rPr>
      <w:rFonts w:cs="Times New Roman"/>
    </w:rPr>
  </w:style>
  <w:style w:type="character" w:styleId="Hyperlink">
    <w:name w:val="Hyperlink"/>
    <w:basedOn w:val="DefaultParagraphFont"/>
    <w:uiPriority w:val="99"/>
    <w:rsid w:val="002C4A86"/>
    <w:rPr>
      <w:rFonts w:cs="Times New Roman"/>
      <w:color w:val="auto"/>
      <w:u w:val="none"/>
    </w:rPr>
  </w:style>
  <w:style w:type="paragraph" w:styleId="TOC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TOC2">
    <w:name w:val="toc 2"/>
    <w:basedOn w:val="TOC1"/>
    <w:uiPriority w:val="99"/>
    <w:rsid w:val="00C05C0A"/>
    <w:pPr>
      <w:spacing w:before="120"/>
    </w:pPr>
    <w:rPr>
      <w:b w:val="0"/>
      <w:szCs w:val="22"/>
    </w:rPr>
  </w:style>
  <w:style w:type="paragraph" w:styleId="TOC3">
    <w:name w:val="toc 3"/>
    <w:basedOn w:val="TOC2"/>
    <w:uiPriority w:val="99"/>
    <w:rsid w:val="00C05C0A"/>
    <w:pPr>
      <w:spacing w:before="0" w:after="120"/>
    </w:pPr>
    <w:rPr>
      <w:b/>
      <w:caps w:val="0"/>
      <w:szCs w:val="20"/>
    </w:rPr>
  </w:style>
  <w:style w:type="paragraph" w:styleId="ListParagraph">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BalloonText">
    <w:name w:val="Balloon Text"/>
    <w:basedOn w:val="Normal"/>
    <w:link w:val="BalloonTextChar"/>
    <w:uiPriority w:val="99"/>
    <w:semiHidden/>
    <w:rsid w:val="0093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0C2C"/>
    <w:rPr>
      <w:rFonts w:ascii="Tahoma" w:hAnsi="Tahoma" w:cs="Tahoma"/>
      <w:sz w:val="16"/>
      <w:szCs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basedOn w:val="DefaultParagraphFont"/>
    <w:uiPriority w:val="99"/>
    <w:rsid w:val="00753F60"/>
    <w:rPr>
      <w:rFonts w:cs="Times New Roman"/>
    </w:rPr>
  </w:style>
  <w:style w:type="character" w:customStyle="1" w:styleId="apple-converted-space">
    <w:name w:val="apple-converted-space"/>
    <w:basedOn w:val="DefaultParagraphFont"/>
    <w:uiPriority w:val="99"/>
    <w:rsid w:val="00753F60"/>
    <w:rPr>
      <w:rFonts w:cs="Times New Roman"/>
    </w:rPr>
  </w:style>
  <w:style w:type="character" w:customStyle="1" w:styleId="arial121">
    <w:name w:val="arial121"/>
    <w:basedOn w:val="DefaultParagraphFont"/>
    <w:uiPriority w:val="99"/>
    <w:rsid w:val="00940C99"/>
    <w:rPr>
      <w:rFonts w:ascii="Arial" w:hAnsi="Arial" w:cs="Arial"/>
      <w:sz w:val="24"/>
      <w:szCs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szCs w:val="20"/>
      <w:lang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szCs w:val="20"/>
      <w:lang w:eastAsia="ar-SA"/>
    </w:rPr>
  </w:style>
  <w:style w:type="paragraph" w:styleId="TOCHeading">
    <w:name w:val="TOC Heading"/>
    <w:basedOn w:val="Heading1"/>
    <w:next w:val="Normal"/>
    <w:uiPriority w:val="99"/>
    <w:qFormat/>
    <w:rsid w:val="00DD7728"/>
    <w:pPr>
      <w:spacing w:line="276" w:lineRule="auto"/>
      <w:outlineLvl w:val="9"/>
    </w:pPr>
    <w:rPr>
      <w:lang w:eastAsia="pt-BR"/>
    </w:rPr>
  </w:style>
  <w:style w:type="paragraph" w:styleId="Caption">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Caption"/>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 w:val="20"/>
      <w:szCs w:val="18"/>
      <w:lang w:eastAsia="en-US"/>
    </w:rPr>
  </w:style>
  <w:style w:type="paragraph" w:styleId="TableofFigures">
    <w:name w:val="table of figures"/>
    <w:basedOn w:val="Normal"/>
    <w:next w:val="Normal"/>
    <w:uiPriority w:val="99"/>
    <w:rsid w:val="00E53A31"/>
    <w:pPr>
      <w:spacing w:after="0"/>
    </w:pPr>
  </w:style>
  <w:style w:type="paragraph" w:customStyle="1" w:styleId="CitaoDiretaRecuo">
    <w:name w:val="Citação Direta Recuo"/>
    <w:basedOn w:val="Normal"/>
    <w:link w:val="CitaoDiretaRecuoChar"/>
    <w:uiPriority w:val="99"/>
    <w:rsid w:val="00B828AC"/>
    <w:pPr>
      <w:spacing w:afterLines="200" w:line="240" w:lineRule="auto"/>
      <w:ind w:left="2268"/>
    </w:pPr>
    <w:rPr>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eastAsia="Times New Roman" w:hAnsi="Arial"/>
      <w:sz w:val="20"/>
    </w:rPr>
  </w:style>
  <w:style w:type="paragraph" w:styleId="Bibliography">
    <w:name w:val="Bibliography"/>
    <w:basedOn w:val="Normal"/>
    <w:next w:val="Normal"/>
    <w:uiPriority w:val="99"/>
    <w:rsid w:val="008970F0"/>
  </w:style>
  <w:style w:type="character" w:customStyle="1" w:styleId="freebirdformeditorviewresponsessummaryquestiontitle">
    <w:name w:val="freebirdformeditorviewresponsessummaryquestiontitle"/>
    <w:basedOn w:val="DefaultParagraphFont"/>
    <w:uiPriority w:val="99"/>
    <w:rsid w:val="00121951"/>
    <w:rPr>
      <w:rFonts w:cs="Times New Roman"/>
    </w:rPr>
  </w:style>
  <w:style w:type="table" w:styleId="TableGrid">
    <w:name w:val="Table Grid"/>
    <w:basedOn w:val="TableNormal"/>
    <w:uiPriority w:val="99"/>
    <w:rsid w:val="001219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36F1A"/>
    <w:rPr>
      <w:rFonts w:cs="Times New Roman"/>
      <w:i/>
      <w:iCs/>
    </w:rPr>
  </w:style>
  <w:style w:type="paragraph" w:styleId="Index1">
    <w:name w:val="index 1"/>
    <w:basedOn w:val="Normal"/>
    <w:next w:val="Normal"/>
    <w:autoRedefine/>
    <w:uiPriority w:val="99"/>
    <w:semiHidden/>
    <w:rsid w:val="00E84603"/>
    <w:pPr>
      <w:spacing w:after="0" w:line="240" w:lineRule="auto"/>
      <w:ind w:left="240" w:hanging="240"/>
    </w:pPr>
  </w:style>
  <w:style w:type="paragraph" w:styleId="HTMLPreformatted">
    <w:name w:val="HTML Preformatted"/>
    <w:basedOn w:val="Normal"/>
    <w:link w:val="HTMLPreformatted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locked/>
    <w:rsid w:val="00421460"/>
    <w:rPr>
      <w:rFonts w:ascii="Courier New" w:hAnsi="Courier New" w:cs="Courier New"/>
      <w:sz w:val="20"/>
      <w:szCs w:val="20"/>
      <w:lang w:eastAsia="pt-BR"/>
    </w:rPr>
  </w:style>
  <w:style w:type="paragraph" w:customStyle="1" w:styleId="centralizado">
    <w:name w:val="centralizado"/>
    <w:basedOn w:val="Normal"/>
    <w:uiPriority w:val="99"/>
    <w:rsid w:val="0065745F"/>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65745F"/>
    <w:pPr>
      <w:spacing w:afterLines="0"/>
    </w:pPr>
    <w:rPr>
      <w:rFonts w:cs="Arial"/>
      <w:sz w:val="20"/>
      <w:szCs w:val="20"/>
      <w:lang w:val="en-US" w:eastAsia="ja-JP"/>
    </w:rPr>
  </w:style>
  <w:style w:type="paragraph" w:customStyle="1" w:styleId="figure-legend-paragraph">
    <w:name w:val="figure-legend-paragraph"/>
    <w:basedOn w:val="Normal"/>
    <w:uiPriority w:val="99"/>
    <w:rsid w:val="0065745F"/>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65745F"/>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eastAsia="pt-BR"/>
    </w:rPr>
  </w:style>
  <w:style w:type="paragraph" w:styleId="TOC5">
    <w:name w:val="toc 5"/>
    <w:basedOn w:val="Normal"/>
    <w:next w:val="Normal"/>
    <w:autoRedefine/>
    <w:uiPriority w:val="99"/>
    <w:semiHidden/>
    <w:rsid w:val="00770267"/>
    <w:pPr>
      <w:spacing w:after="100"/>
      <w:ind w:left="960"/>
    </w:pPr>
  </w:style>
</w:styles>
</file>

<file path=word/webSettings.xml><?xml version="1.0" encoding="utf-8"?>
<w:webSettings xmlns:r="http://schemas.openxmlformats.org/officeDocument/2006/relationships" xmlns:w="http://schemas.openxmlformats.org/wordprocessingml/2006/main">
  <w:divs>
    <w:div w:id="459690461">
      <w:marLeft w:val="0"/>
      <w:marRight w:val="0"/>
      <w:marTop w:val="0"/>
      <w:marBottom w:val="0"/>
      <w:divBdr>
        <w:top w:val="none" w:sz="0" w:space="0" w:color="auto"/>
        <w:left w:val="none" w:sz="0" w:space="0" w:color="auto"/>
        <w:bottom w:val="none" w:sz="0" w:space="0" w:color="auto"/>
        <w:right w:val="none" w:sz="0" w:space="0" w:color="auto"/>
      </w:divBdr>
    </w:div>
    <w:div w:id="459690462">
      <w:marLeft w:val="0"/>
      <w:marRight w:val="0"/>
      <w:marTop w:val="0"/>
      <w:marBottom w:val="0"/>
      <w:divBdr>
        <w:top w:val="none" w:sz="0" w:space="0" w:color="auto"/>
        <w:left w:val="none" w:sz="0" w:space="0" w:color="auto"/>
        <w:bottom w:val="none" w:sz="0" w:space="0" w:color="auto"/>
        <w:right w:val="none" w:sz="0" w:space="0" w:color="auto"/>
      </w:divBdr>
    </w:div>
    <w:div w:id="459690463">
      <w:marLeft w:val="0"/>
      <w:marRight w:val="0"/>
      <w:marTop w:val="0"/>
      <w:marBottom w:val="0"/>
      <w:divBdr>
        <w:top w:val="none" w:sz="0" w:space="0" w:color="auto"/>
        <w:left w:val="none" w:sz="0" w:space="0" w:color="auto"/>
        <w:bottom w:val="none" w:sz="0" w:space="0" w:color="auto"/>
        <w:right w:val="none" w:sz="0" w:space="0" w:color="auto"/>
      </w:divBdr>
    </w:div>
    <w:div w:id="459690464">
      <w:marLeft w:val="0"/>
      <w:marRight w:val="0"/>
      <w:marTop w:val="0"/>
      <w:marBottom w:val="0"/>
      <w:divBdr>
        <w:top w:val="none" w:sz="0" w:space="0" w:color="auto"/>
        <w:left w:val="none" w:sz="0" w:space="0" w:color="auto"/>
        <w:bottom w:val="none" w:sz="0" w:space="0" w:color="auto"/>
        <w:right w:val="none" w:sz="0" w:space="0" w:color="auto"/>
      </w:divBdr>
    </w:div>
    <w:div w:id="459690465">
      <w:marLeft w:val="0"/>
      <w:marRight w:val="0"/>
      <w:marTop w:val="0"/>
      <w:marBottom w:val="0"/>
      <w:divBdr>
        <w:top w:val="none" w:sz="0" w:space="0" w:color="auto"/>
        <w:left w:val="none" w:sz="0" w:space="0" w:color="auto"/>
        <w:bottom w:val="none" w:sz="0" w:space="0" w:color="auto"/>
        <w:right w:val="none" w:sz="0" w:space="0" w:color="auto"/>
      </w:divBdr>
    </w:div>
    <w:div w:id="459690466">
      <w:marLeft w:val="0"/>
      <w:marRight w:val="0"/>
      <w:marTop w:val="0"/>
      <w:marBottom w:val="0"/>
      <w:divBdr>
        <w:top w:val="none" w:sz="0" w:space="0" w:color="auto"/>
        <w:left w:val="none" w:sz="0" w:space="0" w:color="auto"/>
        <w:bottom w:val="none" w:sz="0" w:space="0" w:color="auto"/>
        <w:right w:val="none" w:sz="0" w:space="0" w:color="auto"/>
      </w:divBdr>
    </w:div>
    <w:div w:id="459690467">
      <w:marLeft w:val="0"/>
      <w:marRight w:val="0"/>
      <w:marTop w:val="0"/>
      <w:marBottom w:val="0"/>
      <w:divBdr>
        <w:top w:val="none" w:sz="0" w:space="0" w:color="auto"/>
        <w:left w:val="none" w:sz="0" w:space="0" w:color="auto"/>
        <w:bottom w:val="none" w:sz="0" w:space="0" w:color="auto"/>
        <w:right w:val="none" w:sz="0" w:space="0" w:color="auto"/>
      </w:divBdr>
    </w:div>
    <w:div w:id="459690468">
      <w:marLeft w:val="0"/>
      <w:marRight w:val="0"/>
      <w:marTop w:val="0"/>
      <w:marBottom w:val="0"/>
      <w:divBdr>
        <w:top w:val="none" w:sz="0" w:space="0" w:color="auto"/>
        <w:left w:val="none" w:sz="0" w:space="0" w:color="auto"/>
        <w:bottom w:val="none" w:sz="0" w:space="0" w:color="auto"/>
        <w:right w:val="none" w:sz="0" w:space="0" w:color="auto"/>
      </w:divBdr>
    </w:div>
    <w:div w:id="459690469">
      <w:marLeft w:val="0"/>
      <w:marRight w:val="0"/>
      <w:marTop w:val="0"/>
      <w:marBottom w:val="0"/>
      <w:divBdr>
        <w:top w:val="none" w:sz="0" w:space="0" w:color="auto"/>
        <w:left w:val="none" w:sz="0" w:space="0" w:color="auto"/>
        <w:bottom w:val="none" w:sz="0" w:space="0" w:color="auto"/>
        <w:right w:val="none" w:sz="0" w:space="0" w:color="auto"/>
      </w:divBdr>
    </w:div>
    <w:div w:id="4596904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TotalTime>
  <Pages>4</Pages>
  <Words>1209</Words>
  <Characters>6530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5</cp:revision>
  <dcterms:created xsi:type="dcterms:W3CDTF">2019-10-03T22:59:00Z</dcterms:created>
  <dcterms:modified xsi:type="dcterms:W3CDTF">2019-10-15T13:26:00Z</dcterms:modified>
</cp:coreProperties>
</file>