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Descrição da montagem do ambiente de BI</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Nessa seção serão descritos todos os passos, técnicas e dados utilizados para a aplicação da metodologia de Business Intelligence no contexto do presente trabalho.</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Introdução</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Segundo Braghittoni (p.1, 2017): “O BI é um conjunto de conceitos e métodos para melhorar o processo de tomada de decisão, utilizando-se de sistemas fundamentados em fatos e dimensões”. Nesse caso podemos perceber que o BI é uma metodologia, que possui regras, ordem e práticas para sua aplicação. Sendo assim, precisamos descrever cada uma das partes que vão compor nosso ambiente de inteligência, utilizando como base os autores Braghittoni (2017), Carvalhaes e Alves (2015), Inmon (2005) e Kimball e Ross (2013).</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Esse ambiente se divide em Fontes de Dados (</w:t>
      </w:r>
      <w:r w:rsidRPr="002A0DBD">
        <w:rPr>
          <w:rFonts w:ascii="Arial" w:hAnsi="Arial" w:cs="Arial"/>
          <w:i/>
          <w:sz w:val="24"/>
          <w:szCs w:val="24"/>
        </w:rPr>
        <w:t>Data Source</w:t>
      </w:r>
      <w:r w:rsidRPr="002A0DBD">
        <w:rPr>
          <w:rFonts w:ascii="Arial" w:hAnsi="Arial" w:cs="Arial"/>
          <w:sz w:val="24"/>
          <w:szCs w:val="24"/>
        </w:rPr>
        <w:t>), Área de Staging (</w:t>
      </w:r>
      <w:r w:rsidRPr="002A0DBD">
        <w:rPr>
          <w:rFonts w:ascii="Arial" w:hAnsi="Arial" w:cs="Arial"/>
          <w:i/>
          <w:sz w:val="24"/>
          <w:szCs w:val="24"/>
        </w:rPr>
        <w:t>Staging Area</w:t>
      </w:r>
      <w:r w:rsidRPr="002A0DBD">
        <w:rPr>
          <w:rFonts w:ascii="Arial" w:hAnsi="Arial" w:cs="Arial"/>
          <w:sz w:val="24"/>
          <w:szCs w:val="24"/>
        </w:rPr>
        <w:t xml:space="preserve">), </w:t>
      </w:r>
      <w:r w:rsidRPr="002A0DBD">
        <w:rPr>
          <w:rFonts w:ascii="Arial" w:hAnsi="Arial" w:cs="Arial"/>
          <w:i/>
          <w:sz w:val="24"/>
          <w:szCs w:val="24"/>
        </w:rPr>
        <w:t>Data Warehouse</w:t>
      </w:r>
      <w:r w:rsidRPr="002A0DBD">
        <w:rPr>
          <w:rFonts w:ascii="Arial" w:hAnsi="Arial" w:cs="Arial"/>
          <w:sz w:val="24"/>
          <w:szCs w:val="24"/>
        </w:rPr>
        <w:t xml:space="preserve"> e </w:t>
      </w:r>
      <w:r w:rsidRPr="002A0DBD">
        <w:rPr>
          <w:rFonts w:ascii="Arial" w:hAnsi="Arial" w:cs="Arial"/>
          <w:i/>
          <w:sz w:val="24"/>
          <w:szCs w:val="24"/>
        </w:rPr>
        <w:t>Data Marts</w:t>
      </w:r>
      <w:r w:rsidRPr="002A0DBD">
        <w:rPr>
          <w:rFonts w:ascii="Arial" w:hAnsi="Arial" w:cs="Arial"/>
          <w:sz w:val="24"/>
          <w:szCs w:val="24"/>
        </w:rPr>
        <w:t>. Suas definições serão explicadas a frente.</w:t>
      </w:r>
    </w:p>
    <w:p w:rsidR="00D41063" w:rsidRPr="002A0DBD" w:rsidRDefault="002A0DBD" w:rsidP="002A0DBD">
      <w:pPr>
        <w:spacing w:line="360" w:lineRule="auto"/>
        <w:jc w:val="both"/>
        <w:rPr>
          <w:rFonts w:ascii="Arial" w:hAnsi="Arial" w:cs="Arial"/>
          <w:sz w:val="24"/>
          <w:szCs w:val="24"/>
        </w:rPr>
      </w:pPr>
      <w:r w:rsidRPr="002A0DBD">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4pt;height:234pt;visibility:visible">
            <v:imagedata r:id="rId4" o:title=""/>
          </v:shape>
        </w:pic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Figura x – Arquitetura do ambiente de BI.</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Fonte: Panoly.</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Montagem do ambiente, parte 1 – Fontes de Dados.</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lastRenderedPageBreak/>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Portal Brasileiro de Dados Abertos (</w:t>
      </w:r>
      <w:hyperlink r:id="rId5" w:history="1">
        <w:r w:rsidRPr="002A0DBD">
          <w:rPr>
            <w:rStyle w:val="Hyperlink"/>
            <w:rFonts w:ascii="Arial" w:hAnsi="Arial" w:cs="Arial"/>
            <w:sz w:val="24"/>
            <w:szCs w:val="24"/>
          </w:rPr>
          <w:t>http://dados.gov.br/dataset/microdados-do-censo-escolar</w:t>
        </w:r>
      </w:hyperlink>
      <w:r w:rsidRPr="002A0DBD">
        <w:rPr>
          <w:rFonts w:ascii="Arial" w:hAnsi="Arial" w:cs="Arial"/>
          <w:sz w:val="24"/>
          <w:szCs w:val="24"/>
        </w:rPr>
        <w:t>) e no próprio site do INEP (</w:t>
      </w:r>
      <w:hyperlink r:id="rId6" w:history="1">
        <w:r w:rsidRPr="002A0DBD">
          <w:rPr>
            <w:rStyle w:val="Hyperlink"/>
            <w:rFonts w:ascii="Arial" w:hAnsi="Arial" w:cs="Arial"/>
            <w:sz w:val="24"/>
            <w:szCs w:val="24"/>
          </w:rPr>
          <w:t>http://inep.gov.br/web/guest/microdados</w:t>
        </w:r>
      </w:hyperlink>
      <w:r w:rsidRPr="002A0DBD">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sidRPr="002A0DBD">
          <w:rPr>
            <w:rFonts w:ascii="Arial" w:hAnsi="Arial" w:cs="Arial"/>
            <w:sz w:val="24"/>
            <w:szCs w:val="24"/>
          </w:rPr>
          <w:t>2015 a</w:t>
        </w:r>
      </w:smartTag>
      <w:r w:rsidRPr="002A0DBD">
        <w:rPr>
          <w:rFonts w:ascii="Arial" w:hAnsi="Arial" w:cs="Arial"/>
          <w:sz w:val="24"/>
          <w:szCs w:val="24"/>
        </w:rPr>
        <w:t xml:space="preserve"> 2018. </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Os arquivos estão em formato CSV (</w:t>
      </w:r>
      <w:r w:rsidRPr="002A0DBD">
        <w:rPr>
          <w:rFonts w:ascii="Arial" w:hAnsi="Arial" w:cs="Arial"/>
          <w:i/>
          <w:sz w:val="24"/>
          <w:szCs w:val="24"/>
        </w:rPr>
        <w:t>Comma-separated Values</w:t>
      </w:r>
      <w:r w:rsidRPr="002A0DBD">
        <w:rPr>
          <w:rFonts w:ascii="Arial" w:hAnsi="Arial" w:cs="Arial"/>
          <w:sz w:val="24"/>
          <w:szCs w:val="24"/>
        </w:rPr>
        <w:t xml:space="preserve">) que é um tipo de arquivo onde seus dados estão separados por algum delimitador, no caso das bases do INEP é utilizado o delimitador </w:t>
      </w:r>
      <w:r w:rsidRPr="002A0DBD">
        <w:rPr>
          <w:rFonts w:ascii="Arial" w:hAnsi="Arial" w:cs="Arial"/>
          <w:i/>
          <w:sz w:val="24"/>
          <w:szCs w:val="24"/>
        </w:rPr>
        <w:t>Pipe</w:t>
      </w:r>
      <w:r w:rsidRPr="002A0DBD">
        <w:rPr>
          <w:rFonts w:ascii="Arial" w:hAnsi="Arial" w:cs="Arial"/>
          <w:sz w:val="24"/>
          <w:szCs w:val="24"/>
        </w:rPr>
        <w:t xml:space="preserve"> (|). Eles são divididos em Turmas, Escolas, Matriculas (Centro-Oeste, Nordeste, Norte, Sudeste e Sul), e Docentes (Centro-Oeste, Nordeste, Norte, Sudeste e Sul), onde temos as informações das turmas, das escolas, dos alunos e dos docentes envolvidos nos censos de cada ano, respectivamente.</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Além dos dados principais, precisamos de tabelas auxiliares que vão auxiliar-nos na definição dos dados do INEP, já que são utilizados campos com os códigos dos Países, Unidades da Federação (UF), Municípios, Distritos, Mesorregiões e Microrregiões. Para o primeiro, o INEP disponibiliza em sua base, ao fazer download, uma tabela que contêm os códigos dos países descritos no censo, já que alunos estrangeiros também são envolvidos no censo escolar.</w:t>
      </w:r>
    </w:p>
    <w:p w:rsidR="00D41063" w:rsidRPr="002A0DBD" w:rsidRDefault="002A0DBD" w:rsidP="002A0DBD">
      <w:pPr>
        <w:spacing w:line="360" w:lineRule="auto"/>
        <w:jc w:val="both"/>
        <w:rPr>
          <w:rFonts w:ascii="Arial" w:hAnsi="Arial" w:cs="Arial"/>
          <w:sz w:val="24"/>
          <w:szCs w:val="24"/>
        </w:rPr>
      </w:pPr>
      <w:r w:rsidRPr="002A0DBD">
        <w:rPr>
          <w:rFonts w:ascii="Arial" w:hAnsi="Arial" w:cs="Arial"/>
          <w:noProof/>
          <w:sz w:val="24"/>
          <w:szCs w:val="24"/>
        </w:rPr>
        <w:lastRenderedPageBreak/>
        <w:pict>
          <v:shape id="Imagem 2" o:spid="_x0000_i1026" type="#_x0000_t75" style="width:466.2pt;height:269.4pt;visibility:visible">
            <v:imagedata r:id="rId7" o:title=""/>
          </v:shape>
        </w:pic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Figura x – Tabela de códigos dos países.</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Fonte: Autores.</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Para as UF, Municípios, Distritos, Mesorregiões e Microrregiões, foram utilizadas as bases de códigos do IBGE de Divisão Territorial Brasileira (DTB). Para o presente trabalho, foi escolhida a última disponibilizada do ano de 2018 (</w:t>
      </w:r>
      <w:hyperlink r:id="rId8" w:history="1">
        <w:r w:rsidRPr="002A0DBD">
          <w:rPr>
            <w:rStyle w:val="Hyperlink"/>
            <w:rFonts w:ascii="Arial" w:hAnsi="Arial" w:cs="Arial"/>
            <w:sz w:val="24"/>
            <w:szCs w:val="24"/>
          </w:rPr>
          <w:t>ftp://geoftp.ibge.gov.br/organizacao_do_territorio/estrutura_territorial/divisao_territorial/2018/</w:t>
        </w:r>
      </w:hyperlink>
      <w:r w:rsidRPr="002A0DBD">
        <w:rPr>
          <w:rFonts w:ascii="Arial" w:hAnsi="Arial" w:cs="Arial"/>
          <w:sz w:val="24"/>
          <w:szCs w:val="24"/>
        </w:rPr>
        <w:t>).</w:t>
      </w:r>
      <w:r w:rsidR="00B4707E" w:rsidRPr="002A0DBD">
        <w:rPr>
          <w:rFonts w:ascii="Arial" w:hAnsi="Arial" w:cs="Arial"/>
          <w:sz w:val="24"/>
          <w:szCs w:val="24"/>
        </w:rPr>
        <w:t xml:space="preserve"> Diferente das bases do INEP, esses arquivos estão em formato XLSX (</w:t>
      </w:r>
      <w:r w:rsidR="00B4707E" w:rsidRPr="002A0DBD">
        <w:rPr>
          <w:rFonts w:ascii="Arial" w:hAnsi="Arial" w:cs="Arial"/>
          <w:i/>
          <w:sz w:val="24"/>
          <w:szCs w:val="24"/>
        </w:rPr>
        <w:t>Excel Microsoft Office Open XML Format Spreadsheet File</w:t>
      </w:r>
      <w:r w:rsidR="00B4707E" w:rsidRPr="002A0DBD">
        <w:rPr>
          <w:rFonts w:ascii="Arial" w:hAnsi="Arial" w:cs="Arial"/>
          <w:sz w:val="24"/>
          <w:szCs w:val="24"/>
        </w:rPr>
        <w:t xml:space="preserve">) que é o formato padrão em planilhas do programa Excel da </w:t>
      </w:r>
      <w:r w:rsidR="00B4707E" w:rsidRPr="002A0DBD">
        <w:rPr>
          <w:rFonts w:ascii="Arial" w:hAnsi="Arial" w:cs="Arial"/>
          <w:i/>
          <w:sz w:val="24"/>
          <w:szCs w:val="24"/>
        </w:rPr>
        <w:t>Microsoft</w:t>
      </w:r>
      <w:r w:rsidR="00B4707E" w:rsidRPr="002A0DBD">
        <w:rPr>
          <w:rFonts w:ascii="Arial" w:hAnsi="Arial" w:cs="Arial"/>
          <w:sz w:val="24"/>
          <w:szCs w:val="24"/>
        </w:rPr>
        <w:t>.</w:t>
      </w:r>
    </w:p>
    <w:p w:rsidR="00D41063" w:rsidRPr="002A0DBD" w:rsidRDefault="002A0DBD" w:rsidP="002A0DBD">
      <w:pPr>
        <w:spacing w:line="360" w:lineRule="auto"/>
        <w:jc w:val="both"/>
        <w:rPr>
          <w:rFonts w:ascii="Arial" w:hAnsi="Arial" w:cs="Arial"/>
          <w:sz w:val="24"/>
          <w:szCs w:val="24"/>
        </w:rPr>
      </w:pPr>
      <w:r w:rsidRPr="002A0DBD">
        <w:rPr>
          <w:rFonts w:ascii="Arial" w:hAnsi="Arial" w:cs="Arial"/>
          <w:noProof/>
          <w:sz w:val="24"/>
          <w:szCs w:val="24"/>
        </w:rPr>
        <w:lastRenderedPageBreak/>
        <w:pict>
          <v:shape id="Imagem 3" o:spid="_x0000_i1027" type="#_x0000_t75" style="width:467.4pt;height:204pt;visibility:visible">
            <v:imagedata r:id="rId9" o:title=""/>
          </v:shape>
        </w:pic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Figura x – Tabela DTB de Município.</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Fonte: Autores.</w:t>
      </w:r>
    </w:p>
    <w:p w:rsidR="00D41063" w:rsidRPr="002A0DBD" w:rsidRDefault="002A0DBD" w:rsidP="002A0DBD">
      <w:pPr>
        <w:spacing w:line="360" w:lineRule="auto"/>
        <w:jc w:val="both"/>
        <w:rPr>
          <w:rFonts w:ascii="Arial" w:hAnsi="Arial" w:cs="Arial"/>
          <w:sz w:val="24"/>
          <w:szCs w:val="24"/>
        </w:rPr>
      </w:pPr>
      <w:r w:rsidRPr="002A0DBD">
        <w:rPr>
          <w:rFonts w:ascii="Arial" w:hAnsi="Arial" w:cs="Arial"/>
          <w:noProof/>
          <w:sz w:val="24"/>
          <w:szCs w:val="24"/>
        </w:rPr>
        <w:pict>
          <v:shape id="Imagem 4" o:spid="_x0000_i1028" type="#_x0000_t75" style="width:464.4pt;height:204pt;visibility:visible">
            <v:imagedata r:id="rId10" o:title=""/>
          </v:shape>
        </w:pic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Figura x – Tabela DTB de Distrito.</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Fonte: Autores.</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Assim finaliza</w:t>
      </w:r>
      <w:r w:rsidR="00B4707E" w:rsidRPr="002A0DBD">
        <w:rPr>
          <w:rFonts w:ascii="Arial" w:hAnsi="Arial" w:cs="Arial"/>
          <w:sz w:val="24"/>
          <w:szCs w:val="24"/>
        </w:rPr>
        <w:t>-se</w:t>
      </w:r>
      <w:r w:rsidRPr="002A0DBD">
        <w:rPr>
          <w:rFonts w:ascii="Arial" w:hAnsi="Arial" w:cs="Arial"/>
          <w:sz w:val="24"/>
          <w:szCs w:val="24"/>
        </w:rPr>
        <w:t xml:space="preserve"> a parte d</w:t>
      </w:r>
      <w:r w:rsidR="00B4707E" w:rsidRPr="002A0DBD">
        <w:rPr>
          <w:rFonts w:ascii="Arial" w:hAnsi="Arial" w:cs="Arial"/>
          <w:sz w:val="24"/>
          <w:szCs w:val="24"/>
        </w:rPr>
        <w:t>a</w:t>
      </w:r>
      <w:r w:rsidRPr="002A0DBD">
        <w:rPr>
          <w:rFonts w:ascii="Arial" w:hAnsi="Arial" w:cs="Arial"/>
          <w:sz w:val="24"/>
          <w:szCs w:val="24"/>
        </w:rPr>
        <w:t xml:space="preserve"> aquisição de dados.</w:t>
      </w:r>
    </w:p>
    <w:p w:rsidR="00D41063" w:rsidRPr="002A0DBD" w:rsidRDefault="002A0DBD" w:rsidP="002A0DBD">
      <w:pPr>
        <w:spacing w:line="360" w:lineRule="auto"/>
        <w:jc w:val="both"/>
        <w:rPr>
          <w:rFonts w:ascii="Arial" w:hAnsi="Arial" w:cs="Arial"/>
          <w:sz w:val="24"/>
          <w:szCs w:val="24"/>
        </w:rPr>
      </w:pPr>
      <w:r w:rsidRPr="002A0DBD">
        <w:rPr>
          <w:rFonts w:ascii="Arial" w:hAnsi="Arial" w:cs="Arial"/>
          <w:noProof/>
          <w:sz w:val="24"/>
          <w:szCs w:val="24"/>
        </w:rPr>
        <w:lastRenderedPageBreak/>
        <w:pict>
          <v:shape id="Imagem 6" o:spid="_x0000_i1029" type="#_x0000_t75" style="width:455.4pt;height:225pt;visibility:visible">
            <v:imagedata r:id="rId11" o:title=""/>
          </v:shape>
        </w:pic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Figura x – Modelo de Fonte de Dados.</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Fonte: Autores.</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 xml:space="preserve">Montagem do ambiente, parte 2 – Área de </w:t>
      </w:r>
      <w:r w:rsidRPr="002A0DBD">
        <w:rPr>
          <w:rFonts w:ascii="Arial" w:hAnsi="Arial" w:cs="Arial"/>
          <w:i/>
          <w:sz w:val="24"/>
          <w:szCs w:val="24"/>
        </w:rPr>
        <w:t>Staging</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 xml:space="preserve">Segundo um dos postulados de Inmon (p. 29, 2005) sobre </w:t>
      </w:r>
      <w:r w:rsidRPr="002A0DBD">
        <w:rPr>
          <w:rFonts w:ascii="Arial" w:hAnsi="Arial" w:cs="Arial"/>
          <w:i/>
          <w:sz w:val="24"/>
          <w:szCs w:val="24"/>
        </w:rPr>
        <w:t>Data Warehouse</w:t>
      </w:r>
      <w:r w:rsidRPr="002A0DBD">
        <w:rPr>
          <w:rFonts w:ascii="Arial" w:hAnsi="Arial" w:cs="Arial"/>
          <w:sz w:val="24"/>
          <w:szCs w:val="24"/>
        </w:rPr>
        <w:t xml:space="preserve">, ele define a não volatilidade, ou seja, os dados dentro do mesmo não podem sofrer alterações. Isso significa que vamos precisar de uma fase intermediária antes de carregar os dados no DW, para isso temos a </w:t>
      </w:r>
      <w:r w:rsidRPr="002A0DBD">
        <w:rPr>
          <w:rFonts w:ascii="Arial" w:hAnsi="Arial" w:cs="Arial"/>
          <w:i/>
          <w:sz w:val="24"/>
          <w:szCs w:val="24"/>
        </w:rPr>
        <w:t xml:space="preserve">Staging Area </w:t>
      </w:r>
      <w:r w:rsidRPr="002A0DBD">
        <w:rPr>
          <w:rFonts w:ascii="Arial" w:hAnsi="Arial" w:cs="Arial"/>
          <w:sz w:val="24"/>
          <w:szCs w:val="24"/>
        </w:rPr>
        <w:t xml:space="preserve">ou </w:t>
      </w:r>
      <w:r w:rsidRPr="002A0DBD">
        <w:rPr>
          <w:rFonts w:ascii="Arial" w:hAnsi="Arial" w:cs="Arial"/>
          <w:i/>
          <w:sz w:val="24"/>
          <w:szCs w:val="24"/>
        </w:rPr>
        <w:t>Data Stage</w:t>
      </w:r>
      <w:r w:rsidRPr="002A0DBD">
        <w:rPr>
          <w:rFonts w:ascii="Arial" w:hAnsi="Arial" w:cs="Arial"/>
          <w:sz w:val="24"/>
          <w:szCs w:val="24"/>
        </w:rPr>
        <w:t xml:space="preserve">. Com todos os dados já na máquina iniciaremos a montagem dos processos de ETL para fazer a carga no Banco de Dados de </w:t>
      </w:r>
      <w:r w:rsidRPr="002A0DBD">
        <w:rPr>
          <w:rFonts w:ascii="Arial" w:hAnsi="Arial" w:cs="Arial"/>
          <w:i/>
          <w:sz w:val="24"/>
          <w:szCs w:val="24"/>
        </w:rPr>
        <w:t>Staging</w:t>
      </w:r>
      <w:r w:rsidRPr="002A0DBD">
        <w:rPr>
          <w:rFonts w:ascii="Arial" w:hAnsi="Arial" w:cs="Arial"/>
          <w:sz w:val="24"/>
          <w:szCs w:val="24"/>
        </w:rPr>
        <w:t>.</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 xml:space="preserve">Utilizaremos o </w:t>
      </w:r>
      <w:r w:rsidRPr="002A0DBD">
        <w:rPr>
          <w:rFonts w:ascii="Arial" w:hAnsi="Arial" w:cs="Arial"/>
          <w:i/>
          <w:sz w:val="24"/>
          <w:szCs w:val="24"/>
        </w:rPr>
        <w:t xml:space="preserve">Pentaho Data Integrator </w:t>
      </w:r>
      <w:r w:rsidRPr="002A0DBD">
        <w:rPr>
          <w:rFonts w:ascii="Arial" w:hAnsi="Arial" w:cs="Arial"/>
          <w:sz w:val="24"/>
          <w:szCs w:val="24"/>
        </w:rPr>
        <w:t xml:space="preserve">(PDI) para iniciar os processos de ETL, separando as cargas por assunto. O PDI utiliza duas nomenclaturas como </w:t>
      </w:r>
      <w:r w:rsidRPr="002A0DBD">
        <w:rPr>
          <w:rFonts w:ascii="Arial" w:hAnsi="Arial" w:cs="Arial"/>
          <w:i/>
          <w:sz w:val="24"/>
          <w:szCs w:val="24"/>
        </w:rPr>
        <w:t xml:space="preserve">Job </w:t>
      </w:r>
      <w:r w:rsidRPr="002A0DBD">
        <w:rPr>
          <w:rFonts w:ascii="Arial" w:hAnsi="Arial" w:cs="Arial"/>
          <w:sz w:val="24"/>
          <w:szCs w:val="24"/>
        </w:rPr>
        <w:t xml:space="preserve">e </w:t>
      </w:r>
      <w:r w:rsidRPr="002A0DBD">
        <w:rPr>
          <w:rFonts w:ascii="Arial" w:hAnsi="Arial" w:cs="Arial"/>
          <w:i/>
          <w:sz w:val="24"/>
          <w:szCs w:val="24"/>
        </w:rPr>
        <w:t>Transformation</w:t>
      </w:r>
      <w:r w:rsidRPr="002A0DBD">
        <w:rPr>
          <w:rFonts w:ascii="Arial" w:hAnsi="Arial" w:cs="Arial"/>
          <w:sz w:val="24"/>
          <w:szCs w:val="24"/>
        </w:rPr>
        <w:t>, o primeiro é a menor ação possível que o programa possa fazer como ler o arquivo ou faz</w:t>
      </w:r>
      <w:bookmarkStart w:id="0" w:name="_GoBack"/>
      <w:bookmarkEnd w:id="0"/>
      <w:r w:rsidRPr="002A0DBD">
        <w:rPr>
          <w:rFonts w:ascii="Arial" w:hAnsi="Arial" w:cs="Arial"/>
          <w:sz w:val="24"/>
          <w:szCs w:val="24"/>
        </w:rPr>
        <w:t xml:space="preserve">er inserção, e o segundo é um conjunto de outros </w:t>
      </w:r>
      <w:r w:rsidRPr="002A0DBD">
        <w:rPr>
          <w:rFonts w:ascii="Arial" w:hAnsi="Arial" w:cs="Arial"/>
          <w:i/>
          <w:sz w:val="24"/>
          <w:szCs w:val="24"/>
        </w:rPr>
        <w:t>Jobs</w:t>
      </w:r>
      <w:r w:rsidRPr="002A0DBD">
        <w:rPr>
          <w:rFonts w:ascii="Arial" w:hAnsi="Arial" w:cs="Arial"/>
          <w:sz w:val="24"/>
          <w:szCs w:val="24"/>
        </w:rPr>
        <w:t xml:space="preserve"> para fazer uma execução única e contínua.</w:t>
      </w:r>
    </w:p>
    <w:p w:rsidR="00D41063" w:rsidRPr="002A0DBD" w:rsidRDefault="002A0DBD" w:rsidP="002A0DBD">
      <w:pPr>
        <w:spacing w:line="360" w:lineRule="auto"/>
        <w:jc w:val="both"/>
        <w:rPr>
          <w:rFonts w:ascii="Arial" w:hAnsi="Arial" w:cs="Arial"/>
          <w:sz w:val="24"/>
          <w:szCs w:val="24"/>
        </w:rPr>
      </w:pPr>
      <w:r w:rsidRPr="002A0DBD">
        <w:rPr>
          <w:rFonts w:ascii="Arial" w:hAnsi="Arial" w:cs="Arial"/>
          <w:noProof/>
          <w:sz w:val="24"/>
          <w:szCs w:val="24"/>
        </w:rPr>
        <w:lastRenderedPageBreak/>
        <w:pict>
          <v:shape id="Imagem 8" o:spid="_x0000_i1030" type="#_x0000_t75" alt="https://help.pentaho.com/@api/deki/files/17546/PDI_JobExecutor_Samples.png?revision=1" style="width:464.4pt;height:321.6pt;visibility:visible">
            <v:imagedata r:id="rId12" o:title=""/>
          </v:shape>
        </w:pic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 xml:space="preserve">Figura x – Exemplo de </w:t>
      </w:r>
      <w:r w:rsidRPr="002A0DBD">
        <w:rPr>
          <w:rFonts w:ascii="Arial" w:hAnsi="Arial" w:cs="Arial"/>
          <w:i/>
          <w:sz w:val="24"/>
          <w:szCs w:val="24"/>
        </w:rPr>
        <w:t xml:space="preserve">Transformation </w:t>
      </w:r>
      <w:r w:rsidRPr="002A0DBD">
        <w:rPr>
          <w:rFonts w:ascii="Arial" w:hAnsi="Arial" w:cs="Arial"/>
          <w:sz w:val="24"/>
          <w:szCs w:val="24"/>
        </w:rPr>
        <w:t xml:space="preserve">e </w:t>
      </w:r>
      <w:r w:rsidRPr="002A0DBD">
        <w:rPr>
          <w:rFonts w:ascii="Arial" w:hAnsi="Arial" w:cs="Arial"/>
          <w:i/>
          <w:sz w:val="24"/>
          <w:szCs w:val="24"/>
        </w:rPr>
        <w:t>Job</w:t>
      </w:r>
      <w:r w:rsidRPr="002A0DBD">
        <w:rPr>
          <w:rFonts w:ascii="Arial" w:hAnsi="Arial" w:cs="Arial"/>
          <w:sz w:val="24"/>
          <w:szCs w:val="24"/>
        </w:rPr>
        <w:t>.</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Fonte: Pentaho.</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A carga dos arquivos no BD</w:t>
      </w:r>
      <w:r w:rsidR="005F072F" w:rsidRPr="002A0DBD">
        <w:rPr>
          <w:rFonts w:ascii="Arial" w:hAnsi="Arial" w:cs="Arial"/>
          <w:sz w:val="24"/>
          <w:szCs w:val="24"/>
        </w:rPr>
        <w:t xml:space="preserve"> dos arquivos principais (turmas, matrícula, escolas, docentes)</w:t>
      </w:r>
      <w:r w:rsidRPr="002A0DBD">
        <w:rPr>
          <w:rFonts w:ascii="Arial" w:hAnsi="Arial" w:cs="Arial"/>
          <w:sz w:val="24"/>
          <w:szCs w:val="24"/>
        </w:rPr>
        <w:t xml:space="preserve"> é composta por três passos, em que o PDI encontra os arquivos, prepara-os para a inserção e grava-os no BD.</w:t>
      </w:r>
    </w:p>
    <w:p w:rsidR="00D41063" w:rsidRPr="002A0DBD" w:rsidRDefault="002A0DBD" w:rsidP="002A0DBD">
      <w:pPr>
        <w:spacing w:line="360" w:lineRule="auto"/>
        <w:jc w:val="both"/>
        <w:rPr>
          <w:rFonts w:ascii="Arial" w:hAnsi="Arial" w:cs="Arial"/>
          <w:sz w:val="24"/>
          <w:szCs w:val="24"/>
        </w:rPr>
      </w:pPr>
      <w:r w:rsidRPr="002A0DBD">
        <w:rPr>
          <w:rFonts w:ascii="Arial" w:hAnsi="Arial" w:cs="Arial"/>
          <w:noProof/>
          <w:sz w:val="24"/>
          <w:szCs w:val="24"/>
        </w:rPr>
        <w:pict>
          <v:shape id="Imagem 9" o:spid="_x0000_i1031" type="#_x0000_t75" style="width:467.4pt;height:87pt;visibility:visible">
            <v:imagedata r:id="rId13" o:title=""/>
          </v:shape>
        </w:pict>
      </w:r>
      <w:r w:rsidR="00D41063" w:rsidRPr="002A0DBD">
        <w:rPr>
          <w:rFonts w:ascii="Arial" w:hAnsi="Arial" w:cs="Arial"/>
          <w:sz w:val="24"/>
          <w:szCs w:val="24"/>
        </w:rPr>
        <w:t>Figura x – Visão da ETL</w:t>
      </w:r>
      <w:r w:rsidR="00B4707E" w:rsidRPr="002A0DBD">
        <w:rPr>
          <w:rFonts w:ascii="Arial" w:hAnsi="Arial" w:cs="Arial"/>
          <w:sz w:val="24"/>
          <w:szCs w:val="24"/>
        </w:rPr>
        <w:t xml:space="preserve"> das bases principais</w:t>
      </w:r>
      <w:r w:rsidR="00D41063" w:rsidRPr="002A0DBD">
        <w:rPr>
          <w:rFonts w:ascii="Arial" w:hAnsi="Arial" w:cs="Arial"/>
          <w:sz w:val="24"/>
          <w:szCs w:val="24"/>
        </w:rPr>
        <w:t>.</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Fonte: Autores.</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t>Os passos são descritos abaixo:</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lastRenderedPageBreak/>
        <w:tab/>
      </w:r>
      <w:r w:rsidRPr="002A0DBD">
        <w:rPr>
          <w:rFonts w:ascii="Arial" w:hAnsi="Arial" w:cs="Arial"/>
          <w:i/>
          <w:sz w:val="24"/>
          <w:szCs w:val="24"/>
        </w:rPr>
        <w:t>Get</w:t>
      </w:r>
      <w:r w:rsidRPr="002A0DBD">
        <w:rPr>
          <w:rFonts w:ascii="Arial" w:hAnsi="Arial" w:cs="Arial"/>
          <w:sz w:val="24"/>
          <w:szCs w:val="24"/>
        </w:rPr>
        <w:t xml:space="preserve"> </w:t>
      </w:r>
      <w:r w:rsidRPr="002A0DBD">
        <w:rPr>
          <w:rFonts w:ascii="Arial" w:hAnsi="Arial" w:cs="Arial"/>
          <w:i/>
          <w:sz w:val="24"/>
          <w:szCs w:val="24"/>
        </w:rPr>
        <w:t>File Names</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ou pastas. Ele é recomendado para quando se tem uma grande massa de dados em que todos precisam ser gravados. Os padrões dos nomes são adquiridos conforme uma expressão regular.</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Text File Input</w:t>
      </w:r>
      <w:r w:rsidRPr="002A0DBD">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5F072F" w:rsidRPr="002A0DBD" w:rsidRDefault="005F072F" w:rsidP="002A0DBD">
      <w:pPr>
        <w:spacing w:line="360" w:lineRule="auto"/>
        <w:jc w:val="both"/>
        <w:rPr>
          <w:rFonts w:ascii="Arial" w:hAnsi="Arial" w:cs="Arial"/>
          <w:sz w:val="24"/>
          <w:szCs w:val="24"/>
        </w:rPr>
      </w:pPr>
      <w:r w:rsidRPr="002A0DBD">
        <w:rPr>
          <w:rFonts w:ascii="Arial" w:hAnsi="Arial" w:cs="Arial"/>
          <w:sz w:val="24"/>
          <w:szCs w:val="24"/>
        </w:rPr>
        <w:tab/>
        <w:t xml:space="preserve">Já para a carga das tabelas auxiliares (código dos países e base dtb), </w:t>
      </w:r>
      <w:r w:rsidR="00B4707E" w:rsidRPr="002A0DBD">
        <w:rPr>
          <w:rFonts w:ascii="Arial" w:hAnsi="Arial" w:cs="Arial"/>
          <w:sz w:val="24"/>
          <w:szCs w:val="24"/>
        </w:rPr>
        <w:t>foi utilizado um padrão de carga diferente, já que os arquivos que possuem os dados estão em um formato diferente das outras bases.</w:t>
      </w:r>
    </w:p>
    <w:p w:rsidR="00B4707E" w:rsidRPr="002A0DBD" w:rsidRDefault="002A0DBD" w:rsidP="002A0DBD">
      <w:pPr>
        <w:spacing w:line="360" w:lineRule="auto"/>
        <w:jc w:val="both"/>
        <w:rPr>
          <w:rFonts w:ascii="Arial" w:hAnsi="Arial" w:cs="Arial"/>
          <w:sz w:val="24"/>
          <w:szCs w:val="24"/>
        </w:rPr>
      </w:pPr>
      <w:r w:rsidRPr="002A0DBD">
        <w:rPr>
          <w:rFonts w:ascii="Arial" w:hAnsi="Arial" w:cs="Arial"/>
          <w:sz w:val="24"/>
          <w:szCs w:val="24"/>
        </w:rPr>
        <w:pict>
          <v:shape id="_x0000_i1032" type="#_x0000_t75" style="width:468.6pt;height:77.4pt">
            <v:imagedata r:id="rId14" o:title="etl_auxiliares"/>
          </v:shape>
        </w:pict>
      </w:r>
    </w:p>
    <w:p w:rsidR="00B4707E" w:rsidRPr="002A0DBD" w:rsidRDefault="00B4707E" w:rsidP="002A0DBD">
      <w:pPr>
        <w:spacing w:line="360" w:lineRule="auto"/>
        <w:jc w:val="both"/>
        <w:rPr>
          <w:rFonts w:ascii="Arial" w:hAnsi="Arial" w:cs="Arial"/>
          <w:sz w:val="24"/>
          <w:szCs w:val="24"/>
        </w:rPr>
      </w:pPr>
      <w:r w:rsidRPr="002A0DBD">
        <w:rPr>
          <w:rFonts w:ascii="Arial" w:hAnsi="Arial" w:cs="Arial"/>
          <w:sz w:val="24"/>
          <w:szCs w:val="24"/>
        </w:rPr>
        <w:t>Figura x – Visão geral da ETL de auxiliares.</w:t>
      </w:r>
    </w:p>
    <w:p w:rsidR="00B4707E" w:rsidRPr="002A0DBD" w:rsidRDefault="00B4707E" w:rsidP="002A0DBD">
      <w:pPr>
        <w:spacing w:line="360" w:lineRule="auto"/>
        <w:jc w:val="both"/>
        <w:rPr>
          <w:rFonts w:ascii="Arial" w:hAnsi="Arial" w:cs="Arial"/>
          <w:sz w:val="24"/>
          <w:szCs w:val="24"/>
        </w:rPr>
      </w:pPr>
      <w:r w:rsidRPr="002A0DBD">
        <w:rPr>
          <w:rFonts w:ascii="Arial" w:hAnsi="Arial" w:cs="Arial"/>
          <w:sz w:val="24"/>
          <w:szCs w:val="24"/>
        </w:rPr>
        <w:t>Fonte: Autores.</w:t>
      </w:r>
    </w:p>
    <w:p w:rsidR="002A5E8A" w:rsidRPr="002A0DBD" w:rsidRDefault="002A5E8A" w:rsidP="002A0DBD">
      <w:pPr>
        <w:spacing w:line="360" w:lineRule="auto"/>
        <w:jc w:val="both"/>
        <w:rPr>
          <w:rFonts w:ascii="Arial" w:hAnsi="Arial" w:cs="Arial"/>
          <w:sz w:val="24"/>
          <w:szCs w:val="24"/>
        </w:rPr>
      </w:pPr>
      <w:r w:rsidRPr="002A0DBD">
        <w:rPr>
          <w:rFonts w:ascii="Arial" w:hAnsi="Arial" w:cs="Arial"/>
          <w:sz w:val="24"/>
          <w:szCs w:val="24"/>
        </w:rPr>
        <w:t>Os passos são descritos abaixo:</w:t>
      </w:r>
    </w:p>
    <w:p w:rsidR="002A5E8A" w:rsidRPr="002A0DBD" w:rsidRDefault="002A5E8A"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Microsoft Excel Input</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do tipo XLS (formato utilizado nas versões de 97 até 2003) e/ou XLSX (utilizado na versão de 2007 em diante). Nele pode</w:t>
      </w:r>
      <w:r w:rsidR="00EA1F43" w:rsidRPr="002A0DBD">
        <w:rPr>
          <w:rFonts w:ascii="Arial" w:hAnsi="Arial" w:cs="Arial"/>
          <w:sz w:val="24"/>
          <w:szCs w:val="24"/>
        </w:rPr>
        <w:t>-se</w:t>
      </w:r>
      <w:r w:rsidRPr="002A0DBD">
        <w:rPr>
          <w:rFonts w:ascii="Arial" w:hAnsi="Arial" w:cs="Arial"/>
          <w:sz w:val="24"/>
          <w:szCs w:val="24"/>
        </w:rPr>
        <w:t xml:space="preserve"> configurar opções como, especificar de qual linha e/ou coluna deve-se iniciar a análise, se os títulos das colunas estão na primeira linha (</w:t>
      </w:r>
      <w:r w:rsidRPr="002A0DBD">
        <w:rPr>
          <w:rFonts w:ascii="Arial" w:hAnsi="Arial" w:cs="Arial"/>
          <w:i/>
          <w:sz w:val="24"/>
          <w:szCs w:val="24"/>
        </w:rPr>
        <w:t>Header</w:t>
      </w:r>
      <w:r w:rsidRPr="002A0DBD">
        <w:rPr>
          <w:rFonts w:ascii="Arial" w:hAnsi="Arial" w:cs="Arial"/>
          <w:sz w:val="24"/>
          <w:szCs w:val="24"/>
        </w:rPr>
        <w:t>), além de especificar campos adicionais no momento da carga.</w:t>
      </w:r>
    </w:p>
    <w:p w:rsidR="002A5E8A" w:rsidRPr="002A0DBD" w:rsidRDefault="002A5E8A"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D41063" w:rsidRPr="002A0DBD" w:rsidRDefault="002A0DBD" w:rsidP="002A0DBD">
      <w:pPr>
        <w:spacing w:line="360" w:lineRule="auto"/>
        <w:jc w:val="both"/>
        <w:rPr>
          <w:rFonts w:ascii="Arial" w:hAnsi="Arial" w:cs="Arial"/>
          <w:sz w:val="24"/>
          <w:szCs w:val="24"/>
        </w:rPr>
      </w:pPr>
      <w:r w:rsidRPr="002A0DBD">
        <w:rPr>
          <w:rFonts w:ascii="Arial" w:hAnsi="Arial" w:cs="Arial"/>
          <w:noProof/>
          <w:sz w:val="24"/>
          <w:szCs w:val="24"/>
        </w:rPr>
        <w:lastRenderedPageBreak/>
        <w:pict>
          <v:shape id="Imagem 7" o:spid="_x0000_i1033" type="#_x0000_t75" style="width:464.4pt;height:99.6pt;visibility:visible">
            <v:imagedata r:id="rId15" o:title=""/>
          </v:shape>
        </w:pic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Figura</w:t>
      </w:r>
      <w:r w:rsidR="00B4707E" w:rsidRPr="002A0DBD">
        <w:rPr>
          <w:rFonts w:ascii="Arial" w:hAnsi="Arial" w:cs="Arial"/>
          <w:sz w:val="24"/>
          <w:szCs w:val="24"/>
        </w:rPr>
        <w:t xml:space="preserve"> x – Visão geral da ETL </w:t>
      </w:r>
      <w:r w:rsidR="00B4707E" w:rsidRPr="002A0DBD">
        <w:rPr>
          <w:rFonts w:ascii="Arial" w:hAnsi="Arial" w:cs="Arial"/>
          <w:i/>
          <w:sz w:val="24"/>
          <w:szCs w:val="24"/>
        </w:rPr>
        <w:t>Staging</w:t>
      </w:r>
      <w:r w:rsidRPr="002A0DBD">
        <w:rPr>
          <w:rFonts w:ascii="Arial" w:hAnsi="Arial" w:cs="Arial"/>
          <w:sz w:val="24"/>
          <w:szCs w:val="24"/>
        </w:rPr>
        <w:t>.</w:t>
      </w:r>
    </w:p>
    <w:p w:rsidR="00D41063" w:rsidRPr="002A0DBD" w:rsidRDefault="00D41063" w:rsidP="002A0DBD">
      <w:pPr>
        <w:spacing w:line="360" w:lineRule="auto"/>
        <w:jc w:val="both"/>
        <w:rPr>
          <w:rFonts w:ascii="Arial" w:hAnsi="Arial" w:cs="Arial"/>
          <w:sz w:val="24"/>
          <w:szCs w:val="24"/>
        </w:rPr>
      </w:pPr>
      <w:r w:rsidRPr="002A0DBD">
        <w:rPr>
          <w:rFonts w:ascii="Arial" w:hAnsi="Arial" w:cs="Arial"/>
          <w:sz w:val="24"/>
          <w:szCs w:val="24"/>
        </w:rPr>
        <w:t>Fonte: Autores.</w:t>
      </w:r>
    </w:p>
    <w:p w:rsidR="00747AFF" w:rsidRPr="002A0DBD" w:rsidRDefault="00747AFF" w:rsidP="002A0DBD">
      <w:pPr>
        <w:spacing w:line="360" w:lineRule="auto"/>
        <w:jc w:val="both"/>
        <w:rPr>
          <w:rFonts w:ascii="Arial" w:hAnsi="Arial" w:cs="Arial"/>
          <w:sz w:val="24"/>
          <w:szCs w:val="24"/>
        </w:rPr>
      </w:pPr>
      <w:r w:rsidRPr="002A0DBD">
        <w:rPr>
          <w:rFonts w:ascii="Arial" w:hAnsi="Arial" w:cs="Arial"/>
          <w:sz w:val="24"/>
          <w:szCs w:val="24"/>
        </w:rPr>
        <w:t xml:space="preserve">Com todo o fluxo executado, o Banco de Dados </w:t>
      </w:r>
      <w:r w:rsidRPr="002A0DBD">
        <w:rPr>
          <w:rFonts w:ascii="Arial" w:hAnsi="Arial" w:cs="Arial"/>
          <w:i/>
          <w:sz w:val="24"/>
          <w:szCs w:val="24"/>
        </w:rPr>
        <w:t>Staging</w:t>
      </w:r>
      <w:r w:rsidRPr="002A0DBD">
        <w:rPr>
          <w:rFonts w:ascii="Arial" w:hAnsi="Arial" w:cs="Arial"/>
          <w:sz w:val="24"/>
          <w:szCs w:val="24"/>
        </w:rPr>
        <w:t xml:space="preserve"> foi finalizado da seguinte forma:</w:t>
      </w:r>
    </w:p>
    <w:p w:rsidR="00747AFF" w:rsidRPr="002A0DBD" w:rsidRDefault="002A0DBD" w:rsidP="002A0DBD">
      <w:pPr>
        <w:spacing w:line="360" w:lineRule="auto"/>
        <w:jc w:val="both"/>
        <w:rPr>
          <w:rFonts w:ascii="Arial" w:hAnsi="Arial" w:cs="Arial"/>
          <w:sz w:val="24"/>
          <w:szCs w:val="24"/>
        </w:rPr>
      </w:pPr>
      <w:r w:rsidRPr="002A0DBD">
        <w:rPr>
          <w:rFonts w:ascii="Arial" w:hAnsi="Arial" w:cs="Arial"/>
          <w:sz w:val="24"/>
          <w:szCs w:val="24"/>
        </w:rPr>
        <w:pict>
          <v:shape id="_x0000_i1034" type="#_x0000_t75" style="width:173.4pt;height:189pt">
            <v:imagedata r:id="rId16" o:title="bd_staging"/>
          </v:shape>
        </w:pict>
      </w:r>
    </w:p>
    <w:p w:rsidR="00747AFF" w:rsidRPr="002A0DBD" w:rsidRDefault="00747AFF" w:rsidP="002A0DBD">
      <w:pPr>
        <w:spacing w:line="360" w:lineRule="auto"/>
        <w:jc w:val="both"/>
        <w:rPr>
          <w:rFonts w:ascii="Arial" w:hAnsi="Arial" w:cs="Arial"/>
          <w:sz w:val="24"/>
          <w:szCs w:val="24"/>
        </w:rPr>
      </w:pPr>
      <w:r w:rsidRPr="002A0DBD">
        <w:rPr>
          <w:rFonts w:ascii="Arial" w:hAnsi="Arial" w:cs="Arial"/>
          <w:sz w:val="24"/>
          <w:szCs w:val="24"/>
        </w:rPr>
        <w:t xml:space="preserve">Figura x – Visão do Banco </w:t>
      </w:r>
      <w:r w:rsidRPr="002A0DBD">
        <w:rPr>
          <w:rFonts w:ascii="Arial" w:hAnsi="Arial" w:cs="Arial"/>
          <w:i/>
          <w:sz w:val="24"/>
          <w:szCs w:val="24"/>
        </w:rPr>
        <w:t>Staging</w:t>
      </w:r>
      <w:r w:rsidRPr="002A0DBD">
        <w:rPr>
          <w:rFonts w:ascii="Arial" w:hAnsi="Arial" w:cs="Arial"/>
          <w:sz w:val="24"/>
          <w:szCs w:val="24"/>
        </w:rPr>
        <w:t>.</w:t>
      </w:r>
    </w:p>
    <w:p w:rsidR="00747AFF" w:rsidRPr="002A0DBD" w:rsidRDefault="00747AFF" w:rsidP="002A0DBD">
      <w:pPr>
        <w:spacing w:line="360" w:lineRule="auto"/>
        <w:jc w:val="both"/>
        <w:rPr>
          <w:rFonts w:ascii="Arial" w:hAnsi="Arial" w:cs="Arial"/>
          <w:sz w:val="24"/>
          <w:szCs w:val="24"/>
        </w:rPr>
      </w:pPr>
      <w:r w:rsidRPr="002A0DBD">
        <w:rPr>
          <w:rFonts w:ascii="Arial" w:hAnsi="Arial" w:cs="Arial"/>
          <w:sz w:val="24"/>
          <w:szCs w:val="24"/>
        </w:rPr>
        <w:t>Fonte: Autores.</w:t>
      </w:r>
    </w:p>
    <w:p w:rsidR="00747AFF" w:rsidRPr="002A0DBD" w:rsidRDefault="00747AFF" w:rsidP="002A0DBD">
      <w:pPr>
        <w:spacing w:line="360" w:lineRule="auto"/>
        <w:jc w:val="both"/>
        <w:rPr>
          <w:rFonts w:ascii="Arial" w:hAnsi="Arial" w:cs="Arial"/>
          <w:sz w:val="24"/>
          <w:szCs w:val="24"/>
        </w:rPr>
      </w:pPr>
      <w:r w:rsidRPr="002A0DBD">
        <w:rPr>
          <w:rFonts w:ascii="Arial" w:hAnsi="Arial" w:cs="Arial"/>
          <w:sz w:val="24"/>
          <w:szCs w:val="24"/>
        </w:rPr>
        <w:t xml:space="preserve">Assim encerra-se a parte de carga do Banco de Dados </w:t>
      </w:r>
      <w:r w:rsidRPr="002A0DBD">
        <w:rPr>
          <w:rFonts w:ascii="Arial" w:hAnsi="Arial" w:cs="Arial"/>
          <w:i/>
          <w:sz w:val="24"/>
          <w:szCs w:val="24"/>
        </w:rPr>
        <w:t>Staging</w:t>
      </w:r>
      <w:r w:rsidRPr="002A0DBD">
        <w:rPr>
          <w:rFonts w:ascii="Arial" w:hAnsi="Arial" w:cs="Arial"/>
          <w:sz w:val="24"/>
          <w:szCs w:val="24"/>
        </w:rPr>
        <w:t>.</w:t>
      </w:r>
    </w:p>
    <w:p w:rsidR="00D41063" w:rsidRPr="002A0DBD" w:rsidRDefault="00D41063" w:rsidP="002A0DBD">
      <w:pPr>
        <w:spacing w:line="360" w:lineRule="auto"/>
        <w:jc w:val="both"/>
        <w:rPr>
          <w:rFonts w:ascii="Arial" w:hAnsi="Arial" w:cs="Arial"/>
          <w:sz w:val="24"/>
          <w:szCs w:val="24"/>
        </w:rPr>
      </w:pPr>
    </w:p>
    <w:p w:rsidR="00D41063" w:rsidRPr="002A0DBD" w:rsidRDefault="00D41063" w:rsidP="002A0DBD">
      <w:pPr>
        <w:spacing w:line="360" w:lineRule="auto"/>
        <w:jc w:val="both"/>
        <w:rPr>
          <w:rFonts w:ascii="Arial" w:hAnsi="Arial" w:cs="Arial"/>
          <w:sz w:val="24"/>
          <w:szCs w:val="24"/>
        </w:rPr>
      </w:pPr>
    </w:p>
    <w:sectPr w:rsidR="00D41063" w:rsidRPr="002A0DBD" w:rsidSect="005F072F">
      <w:pgSz w:w="12240" w:h="15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6607"/>
    <w:rsid w:val="00010C64"/>
    <w:rsid w:val="00024867"/>
    <w:rsid w:val="00072269"/>
    <w:rsid w:val="000C6E60"/>
    <w:rsid w:val="00124833"/>
    <w:rsid w:val="00195FCC"/>
    <w:rsid w:val="00203C4D"/>
    <w:rsid w:val="002A0DBD"/>
    <w:rsid w:val="002A5E8A"/>
    <w:rsid w:val="002F7B39"/>
    <w:rsid w:val="003E5042"/>
    <w:rsid w:val="00493BC2"/>
    <w:rsid w:val="004B213D"/>
    <w:rsid w:val="004F67B3"/>
    <w:rsid w:val="00522819"/>
    <w:rsid w:val="005251F2"/>
    <w:rsid w:val="005746C3"/>
    <w:rsid w:val="0058676B"/>
    <w:rsid w:val="005A0B2B"/>
    <w:rsid w:val="005F072F"/>
    <w:rsid w:val="006142DE"/>
    <w:rsid w:val="006B4353"/>
    <w:rsid w:val="00727133"/>
    <w:rsid w:val="00747AFF"/>
    <w:rsid w:val="007C3503"/>
    <w:rsid w:val="009D18CB"/>
    <w:rsid w:val="009F13B0"/>
    <w:rsid w:val="00AC2ED7"/>
    <w:rsid w:val="00B46607"/>
    <w:rsid w:val="00B4707E"/>
    <w:rsid w:val="00B93CE7"/>
    <w:rsid w:val="00BB1067"/>
    <w:rsid w:val="00BF2770"/>
    <w:rsid w:val="00C76F73"/>
    <w:rsid w:val="00CA6C74"/>
    <w:rsid w:val="00CE088B"/>
    <w:rsid w:val="00D07EAA"/>
    <w:rsid w:val="00D41063"/>
    <w:rsid w:val="00D95A99"/>
    <w:rsid w:val="00EA1F43"/>
    <w:rsid w:val="00F059D1"/>
    <w:rsid w:val="00F61B1F"/>
    <w:rsid w:val="00F73105"/>
    <w:rsid w:val="00FB72A5"/>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5:docId w15:val="{0399D950-3CA1-44D5-BEFF-A400C800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Yu Mincho" w:hAnsi="Calibri" w:cs="Times New Roman"/>
        <w:lang w:val="en-US" w:eastAsia="ja-JP"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EAA"/>
    <w:pPr>
      <w:spacing w:after="160" w:line="259" w:lineRule="auto"/>
    </w:pPr>
    <w:rPr>
      <w:sz w:val="22"/>
      <w:szCs w:val="22"/>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9D18CB"/>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tp://geoftp.ibge.gov.br/organizacao_do_territorio/estrutura_territorial/divisao_territorial/2018/" TargetMode="External"/><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http://inep.gov.br/web/guest/microdados" TargetMode="External"/><Relationship Id="rId11" Type="http://schemas.openxmlformats.org/officeDocument/2006/relationships/image" Target="media/image5.jpeg"/><Relationship Id="rId5" Type="http://schemas.openxmlformats.org/officeDocument/2006/relationships/hyperlink" Target="http://dados.gov.br/dataset/microdados-do-censo-escolar"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image" Target="media/image1.jpeg"/><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356</TotalTime>
  <Pages>8</Pages>
  <Words>979</Words>
  <Characters>5582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7</cp:revision>
  <dcterms:created xsi:type="dcterms:W3CDTF">2019-09-28T13:30:00Z</dcterms:created>
  <dcterms:modified xsi:type="dcterms:W3CDTF">2019-10-03T23:03:00Z</dcterms:modified>
</cp:coreProperties>
</file>