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063" w:rsidRPr="003E5042" w:rsidRDefault="00D41063" w:rsidP="00C76F73">
      <w:pPr>
        <w:spacing w:line="360" w:lineRule="auto"/>
        <w:jc w:val="both"/>
        <w:rPr>
          <w:rFonts w:ascii="Arial" w:hAnsi="Arial" w:cs="Arial"/>
          <w:sz w:val="24"/>
          <w:szCs w:val="24"/>
        </w:rPr>
      </w:pPr>
      <w:r w:rsidRPr="003E5042">
        <w:rPr>
          <w:rFonts w:ascii="Arial" w:hAnsi="Arial" w:cs="Arial"/>
          <w:sz w:val="24"/>
          <w:szCs w:val="24"/>
        </w:rPr>
        <w:t>Descrição da montagem do ambiente de BI</w:t>
      </w:r>
    </w:p>
    <w:p w:rsidR="00D41063" w:rsidRPr="003E5042" w:rsidRDefault="00D41063" w:rsidP="00C76F73">
      <w:pPr>
        <w:spacing w:line="360" w:lineRule="auto"/>
        <w:jc w:val="both"/>
        <w:rPr>
          <w:rFonts w:ascii="Arial" w:hAnsi="Arial" w:cs="Arial"/>
          <w:sz w:val="24"/>
          <w:szCs w:val="24"/>
        </w:rPr>
      </w:pPr>
      <w:r w:rsidRPr="003E5042">
        <w:rPr>
          <w:rFonts w:ascii="Arial" w:hAnsi="Arial" w:cs="Arial"/>
          <w:sz w:val="24"/>
          <w:szCs w:val="24"/>
        </w:rPr>
        <w:tab/>
        <w:t>Nessa seção serão descritos todos os passos, técnicas e dados utilizados para a aplicação da metod</w:t>
      </w:r>
      <w:r>
        <w:rPr>
          <w:rFonts w:ascii="Arial" w:hAnsi="Arial" w:cs="Arial"/>
          <w:sz w:val="24"/>
          <w:szCs w:val="24"/>
        </w:rPr>
        <w:t>ologia de Business Intelligence no contexto do presente trabalho.</w:t>
      </w:r>
    </w:p>
    <w:p w:rsidR="00D41063" w:rsidRPr="003E5042" w:rsidRDefault="00D41063" w:rsidP="00C76F73">
      <w:pPr>
        <w:spacing w:line="360" w:lineRule="auto"/>
        <w:jc w:val="both"/>
        <w:rPr>
          <w:rFonts w:ascii="Arial" w:hAnsi="Arial" w:cs="Arial"/>
          <w:sz w:val="24"/>
          <w:szCs w:val="24"/>
        </w:rPr>
      </w:pPr>
      <w:r w:rsidRPr="003E5042">
        <w:rPr>
          <w:rFonts w:ascii="Arial" w:hAnsi="Arial" w:cs="Arial"/>
          <w:sz w:val="24"/>
          <w:szCs w:val="24"/>
        </w:rPr>
        <w:tab/>
        <w:t>Introdução</w:t>
      </w:r>
    </w:p>
    <w:p w:rsidR="00D41063" w:rsidRDefault="00D41063" w:rsidP="00C76F73">
      <w:pPr>
        <w:spacing w:line="360" w:lineRule="auto"/>
        <w:jc w:val="both"/>
        <w:rPr>
          <w:rFonts w:ascii="Arial" w:hAnsi="Arial" w:cs="Arial"/>
          <w:sz w:val="24"/>
          <w:szCs w:val="24"/>
        </w:rPr>
      </w:pPr>
      <w:r w:rsidRPr="003E5042">
        <w:rPr>
          <w:rFonts w:ascii="Arial" w:hAnsi="Arial" w:cs="Arial"/>
          <w:sz w:val="24"/>
          <w:szCs w:val="24"/>
        </w:rPr>
        <w:tab/>
        <w:t>Segundo Braghittoni (p.1, 2017): “O BI é um conjunto de conceitos e métodos para melhorar o processo de tomada de decisão, utilizando-se de sistemas fundament</w:t>
      </w:r>
      <w:bookmarkStart w:id="0" w:name="_GoBack"/>
      <w:bookmarkEnd w:id="0"/>
      <w:r w:rsidRPr="003E5042">
        <w:rPr>
          <w:rFonts w:ascii="Arial" w:hAnsi="Arial" w:cs="Arial"/>
          <w:sz w:val="24"/>
          <w:szCs w:val="24"/>
        </w:rPr>
        <w:t>ados em fatos e dimensões”. Nesse caso podemos perceber que o BI é uma metodologia, que possui regras, ordem e práticas para sua aplicação. Sendo assim, precisamos descrever cada uma das partes que vão compor nosso ambiente de inteligência, utilizando como base os autores Braghittoni (2017), Carvalhaes e Alves (2015), Inmon (2005) e Kimball e Ross (2013).</w:t>
      </w:r>
    </w:p>
    <w:p w:rsidR="00D41063" w:rsidRPr="007C3503" w:rsidRDefault="00D41063" w:rsidP="00C76F73">
      <w:pPr>
        <w:spacing w:line="360" w:lineRule="auto"/>
        <w:jc w:val="both"/>
        <w:rPr>
          <w:rFonts w:ascii="Arial" w:hAnsi="Arial" w:cs="Arial"/>
          <w:sz w:val="24"/>
          <w:szCs w:val="24"/>
        </w:rPr>
      </w:pPr>
      <w:r>
        <w:rPr>
          <w:rFonts w:ascii="Arial" w:hAnsi="Arial" w:cs="Arial"/>
          <w:sz w:val="24"/>
          <w:szCs w:val="24"/>
        </w:rPr>
        <w:tab/>
        <w:t>Esse ambiente se divide em Fontes de Dados (</w:t>
      </w:r>
      <w:r>
        <w:rPr>
          <w:rFonts w:ascii="Arial" w:hAnsi="Arial" w:cs="Arial"/>
          <w:i/>
          <w:sz w:val="24"/>
          <w:szCs w:val="24"/>
        </w:rPr>
        <w:t>Data Source</w:t>
      </w:r>
      <w:r>
        <w:rPr>
          <w:rFonts w:ascii="Arial" w:hAnsi="Arial" w:cs="Arial"/>
          <w:sz w:val="24"/>
          <w:szCs w:val="24"/>
        </w:rPr>
        <w:t>), Área de Staging (</w:t>
      </w:r>
      <w:r>
        <w:rPr>
          <w:rFonts w:ascii="Arial" w:hAnsi="Arial" w:cs="Arial"/>
          <w:i/>
          <w:sz w:val="24"/>
          <w:szCs w:val="24"/>
        </w:rPr>
        <w:t>Staging Area</w:t>
      </w:r>
      <w:r>
        <w:rPr>
          <w:rFonts w:ascii="Arial" w:hAnsi="Arial" w:cs="Arial"/>
          <w:sz w:val="24"/>
          <w:szCs w:val="24"/>
        </w:rPr>
        <w:t xml:space="preserve">), </w:t>
      </w:r>
      <w:r>
        <w:rPr>
          <w:rFonts w:ascii="Arial" w:hAnsi="Arial" w:cs="Arial"/>
          <w:i/>
          <w:sz w:val="24"/>
          <w:szCs w:val="24"/>
        </w:rPr>
        <w:t>Data Warehouse</w:t>
      </w:r>
      <w:r>
        <w:rPr>
          <w:rFonts w:ascii="Arial" w:hAnsi="Arial" w:cs="Arial"/>
          <w:sz w:val="24"/>
          <w:szCs w:val="24"/>
        </w:rPr>
        <w:t xml:space="preserve"> e </w:t>
      </w:r>
      <w:r>
        <w:rPr>
          <w:rFonts w:ascii="Arial" w:hAnsi="Arial" w:cs="Arial"/>
          <w:i/>
          <w:sz w:val="24"/>
          <w:szCs w:val="24"/>
        </w:rPr>
        <w:t>Data Marts</w:t>
      </w:r>
      <w:r>
        <w:rPr>
          <w:rFonts w:ascii="Arial" w:hAnsi="Arial" w:cs="Arial"/>
          <w:sz w:val="24"/>
          <w:szCs w:val="24"/>
        </w:rPr>
        <w:t>. Suas definições serão explicadas a frente.</w:t>
      </w:r>
    </w:p>
    <w:p w:rsidR="00D41063" w:rsidRDefault="00D41063" w:rsidP="00C76F73">
      <w:pPr>
        <w:spacing w:line="360" w:lineRule="auto"/>
        <w:jc w:val="both"/>
        <w:rPr>
          <w:rFonts w:ascii="Arial" w:hAnsi="Arial" w:cs="Arial"/>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4" o:title=""/>
          </v:shape>
        </w:pict>
      </w:r>
    </w:p>
    <w:p w:rsidR="00D41063" w:rsidRDefault="00D41063" w:rsidP="00C76F73">
      <w:pPr>
        <w:spacing w:line="360" w:lineRule="auto"/>
        <w:jc w:val="both"/>
        <w:rPr>
          <w:rFonts w:ascii="Arial" w:hAnsi="Arial" w:cs="Arial"/>
          <w:sz w:val="24"/>
          <w:szCs w:val="24"/>
        </w:rPr>
      </w:pPr>
      <w:r>
        <w:rPr>
          <w:rFonts w:ascii="Arial" w:hAnsi="Arial" w:cs="Arial"/>
          <w:sz w:val="24"/>
          <w:szCs w:val="24"/>
        </w:rPr>
        <w:t>Figura x – Arquitetura do ambiente de BI.</w:t>
      </w:r>
    </w:p>
    <w:p w:rsidR="00D41063" w:rsidRPr="007C3503" w:rsidRDefault="00D41063" w:rsidP="00C76F73">
      <w:pPr>
        <w:spacing w:line="360" w:lineRule="auto"/>
        <w:jc w:val="both"/>
        <w:rPr>
          <w:rFonts w:ascii="Arial" w:hAnsi="Arial" w:cs="Arial"/>
          <w:sz w:val="24"/>
          <w:szCs w:val="24"/>
        </w:rPr>
      </w:pPr>
      <w:r>
        <w:rPr>
          <w:rFonts w:ascii="Arial" w:hAnsi="Arial" w:cs="Arial"/>
          <w:sz w:val="24"/>
          <w:szCs w:val="24"/>
        </w:rPr>
        <w:t>Fonte: Panoly.</w:t>
      </w:r>
    </w:p>
    <w:p w:rsidR="00D41063" w:rsidRPr="003E5042" w:rsidRDefault="00D41063" w:rsidP="00C76F73">
      <w:pPr>
        <w:spacing w:line="360" w:lineRule="auto"/>
        <w:jc w:val="both"/>
        <w:rPr>
          <w:rFonts w:ascii="Arial" w:hAnsi="Arial" w:cs="Arial"/>
          <w:sz w:val="24"/>
          <w:szCs w:val="24"/>
        </w:rPr>
      </w:pPr>
      <w:r>
        <w:rPr>
          <w:rFonts w:ascii="Arial" w:hAnsi="Arial" w:cs="Arial"/>
          <w:sz w:val="24"/>
          <w:szCs w:val="24"/>
        </w:rPr>
        <w:tab/>
        <w:t>Montagem do ambiente, parte 1 – Fontes de Dados.</w:t>
      </w:r>
    </w:p>
    <w:p w:rsidR="00D41063" w:rsidRDefault="00D41063" w:rsidP="00C76F73">
      <w:pPr>
        <w:spacing w:line="360" w:lineRule="auto"/>
        <w:jc w:val="both"/>
        <w:rPr>
          <w:rFonts w:ascii="Arial" w:hAnsi="Arial" w:cs="Arial"/>
          <w:sz w:val="24"/>
          <w:szCs w:val="24"/>
        </w:rPr>
      </w:pPr>
      <w:r>
        <w:rPr>
          <w:rFonts w:ascii="Arial" w:hAnsi="Arial" w:cs="Arial"/>
          <w:sz w:val="24"/>
          <w:szCs w:val="24"/>
        </w:rPr>
        <w:tab/>
      </w:r>
      <w:r w:rsidRPr="009D18CB">
        <w:rPr>
          <w:rFonts w:ascii="Arial" w:hAnsi="Arial" w:cs="Arial"/>
          <w:sz w:val="24"/>
          <w:szCs w:val="24"/>
        </w:rPr>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Portal Brasileiro de Dados Abertos (</w:t>
      </w:r>
      <w:hyperlink r:id="rId5" w:history="1">
        <w:r w:rsidRPr="009D18CB">
          <w:rPr>
            <w:rStyle w:val="Hyperlink"/>
            <w:rFonts w:ascii="Arial" w:hAnsi="Arial" w:cs="Arial"/>
            <w:sz w:val="24"/>
            <w:szCs w:val="24"/>
          </w:rPr>
          <w:t>http://dados.gov.br/dataset/microdados-do-censo-escolar</w:t>
        </w:r>
      </w:hyperlink>
      <w:r w:rsidRPr="009D18CB">
        <w:rPr>
          <w:rFonts w:ascii="Arial" w:hAnsi="Arial" w:cs="Arial"/>
          <w:sz w:val="24"/>
          <w:szCs w:val="24"/>
        </w:rPr>
        <w:t>) e no próprio site do INEP (</w:t>
      </w:r>
      <w:hyperlink r:id="rId6" w:history="1">
        <w:r w:rsidRPr="009D18CB">
          <w:rPr>
            <w:rStyle w:val="Hyperlink"/>
            <w:rFonts w:ascii="Arial" w:hAnsi="Arial" w:cs="Arial"/>
            <w:sz w:val="24"/>
            <w:szCs w:val="24"/>
          </w:rPr>
          <w:t>http://inep.gov.br/web/guest/microdados</w:t>
        </w:r>
      </w:hyperlink>
      <w:r>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Pr>
            <w:rFonts w:ascii="Arial" w:hAnsi="Arial" w:cs="Arial"/>
            <w:sz w:val="24"/>
            <w:szCs w:val="24"/>
          </w:rPr>
          <w:t>2015 a</w:t>
        </w:r>
      </w:smartTag>
      <w:r>
        <w:rPr>
          <w:rFonts w:ascii="Arial" w:hAnsi="Arial" w:cs="Arial"/>
          <w:sz w:val="24"/>
          <w:szCs w:val="24"/>
        </w:rPr>
        <w:t xml:space="preserve"> 2018. </w:t>
      </w:r>
    </w:p>
    <w:p w:rsidR="00D41063" w:rsidRDefault="00D41063" w:rsidP="00C76F73">
      <w:pPr>
        <w:spacing w:line="360" w:lineRule="auto"/>
        <w:jc w:val="both"/>
        <w:rPr>
          <w:rFonts w:ascii="Arial" w:hAnsi="Arial" w:cs="Arial"/>
          <w:sz w:val="24"/>
          <w:szCs w:val="24"/>
        </w:rPr>
      </w:pPr>
      <w:r>
        <w:rPr>
          <w:rFonts w:ascii="Arial" w:hAnsi="Arial" w:cs="Arial"/>
          <w:sz w:val="24"/>
          <w:szCs w:val="24"/>
        </w:rPr>
        <w:tab/>
        <w:t>Os arquivos estão em formato CSV (</w:t>
      </w:r>
      <w:r>
        <w:rPr>
          <w:rFonts w:ascii="Arial" w:hAnsi="Arial" w:cs="Arial"/>
          <w:i/>
          <w:sz w:val="24"/>
          <w:szCs w:val="24"/>
        </w:rPr>
        <w:t>Comma-separated V</w:t>
      </w:r>
      <w:r w:rsidRPr="009D18CB">
        <w:rPr>
          <w:rFonts w:ascii="Arial" w:hAnsi="Arial" w:cs="Arial"/>
          <w:i/>
          <w:sz w:val="24"/>
          <w:szCs w:val="24"/>
        </w:rPr>
        <w:t>alues</w:t>
      </w:r>
      <w:r>
        <w:rPr>
          <w:rFonts w:ascii="Arial" w:hAnsi="Arial" w:cs="Arial"/>
          <w:sz w:val="24"/>
          <w:szCs w:val="24"/>
        </w:rPr>
        <w:t xml:space="preserve">) que é um tipo de arquivo onde seus dados estão separados por algum delimitador, no caso das bases do INEP é utilizado o delimitador </w:t>
      </w:r>
      <w:r>
        <w:rPr>
          <w:rFonts w:ascii="Arial" w:hAnsi="Arial" w:cs="Arial"/>
          <w:i/>
          <w:sz w:val="24"/>
          <w:szCs w:val="24"/>
        </w:rPr>
        <w:t>Pipe</w:t>
      </w:r>
      <w:r>
        <w:rPr>
          <w:rFonts w:ascii="Arial" w:hAnsi="Arial" w:cs="Arial"/>
          <w:sz w:val="24"/>
          <w:szCs w:val="24"/>
        </w:rPr>
        <w:t xml:space="preserve"> (|). Eles são divididos em Turmas, Escolas, Matriculas (Centro-Oeste, Nordeste, Norte, Sudeste e Sul), e Docentes (Centro-Oeste, Nordeste, Norte, Sudeste e Sul), onde temos as informações das turmas, das escolas, dos alunos e dos docentes envolvidos nos censos de cada ano, respectivamente.</w:t>
      </w:r>
    </w:p>
    <w:p w:rsidR="00D41063" w:rsidRDefault="00D41063" w:rsidP="00C76F73">
      <w:pPr>
        <w:spacing w:line="360" w:lineRule="auto"/>
        <w:jc w:val="both"/>
        <w:rPr>
          <w:rFonts w:ascii="Arial" w:hAnsi="Arial" w:cs="Arial"/>
          <w:sz w:val="24"/>
          <w:szCs w:val="24"/>
        </w:rPr>
      </w:pPr>
      <w:r>
        <w:rPr>
          <w:rFonts w:ascii="Arial" w:hAnsi="Arial" w:cs="Arial"/>
          <w:sz w:val="24"/>
          <w:szCs w:val="24"/>
        </w:rPr>
        <w:tab/>
        <w:t>Além dos dados principais, precisamos de tabelas auxiliares que vão auxiliar-nos na definição dos dados do INEP, já que são utilizados campos com os códigos dos Países, Unidades da Federação (UF), Municípios, Distritos, Mesorregiões e Microrregiões. Para o primeiro, o INEP disponibiliza em sua base, ao fazer download, uma tabela que contêm os códigos dos países descritos no censo, já que alunos estrangeiros também são envolvidos no censo escolar.</w:t>
      </w:r>
    </w:p>
    <w:p w:rsidR="00D41063" w:rsidRDefault="00D41063" w:rsidP="00C76F73">
      <w:pPr>
        <w:spacing w:line="360" w:lineRule="auto"/>
        <w:jc w:val="both"/>
        <w:rPr>
          <w:rFonts w:ascii="Arial" w:hAnsi="Arial" w:cs="Arial"/>
          <w:sz w:val="24"/>
          <w:szCs w:val="24"/>
        </w:rPr>
      </w:pPr>
      <w:r w:rsidRPr="0058676B">
        <w:rPr>
          <w:rFonts w:ascii="Arial" w:hAnsi="Arial" w:cs="Arial"/>
          <w:noProof/>
          <w:sz w:val="24"/>
          <w:szCs w:val="24"/>
        </w:rPr>
        <w:pict>
          <v:shape id="Imagem 2" o:spid="_x0000_i1026" type="#_x0000_t75" style="width:466.5pt;height:269.25pt;visibility:visible">
            <v:imagedata r:id="rId7" o:title=""/>
          </v:shape>
        </w:pict>
      </w:r>
    </w:p>
    <w:p w:rsidR="00D41063" w:rsidRDefault="00D41063" w:rsidP="00C76F73">
      <w:pPr>
        <w:spacing w:line="360" w:lineRule="auto"/>
        <w:jc w:val="both"/>
        <w:rPr>
          <w:rFonts w:ascii="Arial" w:hAnsi="Arial" w:cs="Arial"/>
          <w:sz w:val="24"/>
          <w:szCs w:val="24"/>
        </w:rPr>
      </w:pPr>
      <w:r>
        <w:rPr>
          <w:rFonts w:ascii="Arial" w:hAnsi="Arial" w:cs="Arial"/>
          <w:sz w:val="24"/>
          <w:szCs w:val="24"/>
        </w:rPr>
        <w:t>Figura x – Tabela de códigos dos países.</w:t>
      </w:r>
    </w:p>
    <w:p w:rsidR="00D41063" w:rsidRDefault="00D41063" w:rsidP="00C76F73">
      <w:pPr>
        <w:spacing w:line="360" w:lineRule="auto"/>
        <w:jc w:val="both"/>
        <w:rPr>
          <w:rFonts w:ascii="Arial" w:hAnsi="Arial" w:cs="Arial"/>
          <w:sz w:val="24"/>
          <w:szCs w:val="24"/>
        </w:rPr>
      </w:pPr>
      <w:r>
        <w:rPr>
          <w:rFonts w:ascii="Arial" w:hAnsi="Arial" w:cs="Arial"/>
          <w:sz w:val="24"/>
          <w:szCs w:val="24"/>
        </w:rPr>
        <w:t>Fonte: Autores.</w:t>
      </w:r>
    </w:p>
    <w:p w:rsidR="00D41063" w:rsidRDefault="00D41063" w:rsidP="00C76F73">
      <w:pPr>
        <w:spacing w:line="360" w:lineRule="auto"/>
        <w:jc w:val="both"/>
        <w:rPr>
          <w:rFonts w:ascii="Arial" w:hAnsi="Arial" w:cs="Arial"/>
          <w:sz w:val="24"/>
          <w:szCs w:val="24"/>
        </w:rPr>
      </w:pPr>
      <w:r>
        <w:rPr>
          <w:rFonts w:ascii="Arial" w:hAnsi="Arial" w:cs="Arial"/>
          <w:sz w:val="24"/>
          <w:szCs w:val="24"/>
        </w:rPr>
        <w:tab/>
        <w:t>Para as UF, Municípios, Distritos, Mesorregiões e Microrregiões, foram utilizadas as bases de códigos do IBGE de Divisão Territorial Brasileira (DTB). Para o presente trabalho, foi escolhida a última disponibilizada do ano de 2018 (</w:t>
      </w:r>
      <w:hyperlink r:id="rId8" w:history="1">
        <w:r w:rsidRPr="00D95A99">
          <w:rPr>
            <w:rStyle w:val="Hyperlink"/>
            <w:rFonts w:ascii="Arial" w:hAnsi="Arial" w:cs="Arial"/>
            <w:sz w:val="24"/>
            <w:szCs w:val="24"/>
          </w:rPr>
          <w:t>ftp://geoftp.ibge.gov.br/organizacao_do_territorio/estrutura_territorial/divisao_territorial/2018/</w:t>
        </w:r>
      </w:hyperlink>
      <w:r>
        <w:rPr>
          <w:rFonts w:ascii="Arial" w:hAnsi="Arial" w:cs="Arial"/>
          <w:sz w:val="24"/>
          <w:szCs w:val="24"/>
        </w:rPr>
        <w:t>).</w:t>
      </w:r>
    </w:p>
    <w:p w:rsidR="00D41063" w:rsidRDefault="00D41063" w:rsidP="00C76F73">
      <w:pPr>
        <w:spacing w:line="360" w:lineRule="auto"/>
        <w:jc w:val="both"/>
        <w:rPr>
          <w:rFonts w:ascii="Arial" w:hAnsi="Arial" w:cs="Arial"/>
          <w:sz w:val="24"/>
          <w:szCs w:val="24"/>
        </w:rPr>
      </w:pPr>
      <w:r w:rsidRPr="0058676B">
        <w:rPr>
          <w:rFonts w:ascii="Arial" w:hAnsi="Arial" w:cs="Arial"/>
          <w:noProof/>
          <w:sz w:val="24"/>
          <w:szCs w:val="24"/>
        </w:rPr>
        <w:pict>
          <v:shape id="Imagem 3" o:spid="_x0000_i1027" type="#_x0000_t75" style="width:467.25pt;height:204pt;visibility:visible">
            <v:imagedata r:id="rId9" o:title=""/>
          </v:shape>
        </w:pict>
      </w:r>
    </w:p>
    <w:p w:rsidR="00D41063" w:rsidRDefault="00D41063" w:rsidP="00C76F73">
      <w:pPr>
        <w:spacing w:line="360" w:lineRule="auto"/>
        <w:jc w:val="both"/>
        <w:rPr>
          <w:rFonts w:ascii="Arial" w:hAnsi="Arial" w:cs="Arial"/>
          <w:sz w:val="24"/>
          <w:szCs w:val="24"/>
        </w:rPr>
      </w:pPr>
      <w:r>
        <w:rPr>
          <w:rFonts w:ascii="Arial" w:hAnsi="Arial" w:cs="Arial"/>
          <w:sz w:val="24"/>
          <w:szCs w:val="24"/>
        </w:rPr>
        <w:t>Figura x – Tabela DTB de Município.</w:t>
      </w:r>
    </w:p>
    <w:p w:rsidR="00D41063" w:rsidRDefault="00D41063" w:rsidP="00C76F73">
      <w:pPr>
        <w:spacing w:line="360" w:lineRule="auto"/>
        <w:jc w:val="both"/>
        <w:rPr>
          <w:rFonts w:ascii="Arial" w:hAnsi="Arial" w:cs="Arial"/>
          <w:sz w:val="24"/>
          <w:szCs w:val="24"/>
        </w:rPr>
      </w:pPr>
      <w:r>
        <w:rPr>
          <w:rFonts w:ascii="Arial" w:hAnsi="Arial" w:cs="Arial"/>
          <w:sz w:val="24"/>
          <w:szCs w:val="24"/>
        </w:rPr>
        <w:t>Fonte: Autores.</w:t>
      </w:r>
    </w:p>
    <w:p w:rsidR="00D41063" w:rsidRDefault="00D41063" w:rsidP="00C76F73">
      <w:pPr>
        <w:spacing w:line="360" w:lineRule="auto"/>
        <w:jc w:val="both"/>
        <w:rPr>
          <w:rFonts w:ascii="Arial" w:hAnsi="Arial" w:cs="Arial"/>
          <w:sz w:val="24"/>
          <w:szCs w:val="24"/>
        </w:rPr>
      </w:pPr>
      <w:r w:rsidRPr="0058676B">
        <w:rPr>
          <w:rFonts w:ascii="Arial" w:hAnsi="Arial" w:cs="Arial"/>
          <w:noProof/>
          <w:sz w:val="24"/>
          <w:szCs w:val="24"/>
        </w:rPr>
        <w:pict>
          <v:shape id="Imagem 4" o:spid="_x0000_i1028" type="#_x0000_t75" style="width:464.25pt;height:204pt;visibility:visible">
            <v:imagedata r:id="rId10" o:title=""/>
          </v:shape>
        </w:pict>
      </w:r>
    </w:p>
    <w:p w:rsidR="00D41063" w:rsidRDefault="00D41063" w:rsidP="00C76F73">
      <w:pPr>
        <w:spacing w:line="360" w:lineRule="auto"/>
        <w:jc w:val="both"/>
        <w:rPr>
          <w:rFonts w:ascii="Arial" w:hAnsi="Arial" w:cs="Arial"/>
          <w:sz w:val="24"/>
          <w:szCs w:val="24"/>
        </w:rPr>
      </w:pPr>
      <w:r>
        <w:rPr>
          <w:rFonts w:ascii="Arial" w:hAnsi="Arial" w:cs="Arial"/>
          <w:sz w:val="24"/>
          <w:szCs w:val="24"/>
        </w:rPr>
        <w:t>Figura x – Tabela DTB de Distrito.</w:t>
      </w:r>
    </w:p>
    <w:p w:rsidR="00D41063" w:rsidRDefault="00D41063" w:rsidP="00C76F73">
      <w:pPr>
        <w:spacing w:line="360" w:lineRule="auto"/>
        <w:jc w:val="both"/>
        <w:rPr>
          <w:rFonts w:ascii="Arial" w:hAnsi="Arial" w:cs="Arial"/>
          <w:sz w:val="24"/>
          <w:szCs w:val="24"/>
        </w:rPr>
      </w:pPr>
      <w:r>
        <w:rPr>
          <w:rFonts w:ascii="Arial" w:hAnsi="Arial" w:cs="Arial"/>
          <w:sz w:val="24"/>
          <w:szCs w:val="24"/>
        </w:rPr>
        <w:t>Fonte: Autores.</w:t>
      </w:r>
    </w:p>
    <w:p w:rsidR="00D41063" w:rsidRDefault="00D41063" w:rsidP="00C76F73">
      <w:pPr>
        <w:spacing w:line="360" w:lineRule="auto"/>
        <w:jc w:val="both"/>
        <w:rPr>
          <w:rFonts w:ascii="Arial" w:hAnsi="Arial" w:cs="Arial"/>
          <w:sz w:val="24"/>
          <w:szCs w:val="24"/>
        </w:rPr>
      </w:pPr>
      <w:r>
        <w:rPr>
          <w:rFonts w:ascii="Arial" w:hAnsi="Arial" w:cs="Arial"/>
          <w:sz w:val="24"/>
          <w:szCs w:val="24"/>
        </w:rPr>
        <w:t>Assim finaliza a parte de aquisição de dados.</w:t>
      </w:r>
    </w:p>
    <w:p w:rsidR="00D41063" w:rsidRDefault="00D41063" w:rsidP="00C76F73">
      <w:pPr>
        <w:spacing w:line="360" w:lineRule="auto"/>
        <w:jc w:val="both"/>
        <w:rPr>
          <w:rFonts w:ascii="Arial" w:hAnsi="Arial" w:cs="Arial"/>
          <w:sz w:val="24"/>
          <w:szCs w:val="24"/>
        </w:rPr>
      </w:pPr>
      <w:r w:rsidRPr="0058676B">
        <w:rPr>
          <w:rFonts w:ascii="Arial" w:hAnsi="Arial" w:cs="Arial"/>
          <w:noProof/>
          <w:sz w:val="24"/>
          <w:szCs w:val="24"/>
        </w:rPr>
        <w:pict>
          <v:shape id="Imagem 6" o:spid="_x0000_i1029" type="#_x0000_t75" style="width:455.25pt;height:225pt;visibility:visible">
            <v:imagedata r:id="rId11" o:title=""/>
          </v:shape>
        </w:pict>
      </w:r>
    </w:p>
    <w:p w:rsidR="00D41063" w:rsidRDefault="00D41063" w:rsidP="00C76F73">
      <w:pPr>
        <w:spacing w:line="360" w:lineRule="auto"/>
        <w:jc w:val="both"/>
        <w:rPr>
          <w:rFonts w:ascii="Arial" w:hAnsi="Arial" w:cs="Arial"/>
          <w:sz w:val="24"/>
          <w:szCs w:val="24"/>
        </w:rPr>
      </w:pPr>
      <w:r>
        <w:rPr>
          <w:rFonts w:ascii="Arial" w:hAnsi="Arial" w:cs="Arial"/>
          <w:sz w:val="24"/>
          <w:szCs w:val="24"/>
        </w:rPr>
        <w:t>Figura x – Modelo de Fonte de Dados.</w:t>
      </w:r>
    </w:p>
    <w:p w:rsidR="00D41063" w:rsidRDefault="00D41063" w:rsidP="00C76F73">
      <w:pPr>
        <w:spacing w:line="360" w:lineRule="auto"/>
        <w:jc w:val="both"/>
        <w:rPr>
          <w:rFonts w:ascii="Arial" w:hAnsi="Arial" w:cs="Arial"/>
          <w:sz w:val="24"/>
          <w:szCs w:val="24"/>
        </w:rPr>
      </w:pPr>
      <w:r>
        <w:rPr>
          <w:rFonts w:ascii="Arial" w:hAnsi="Arial" w:cs="Arial"/>
          <w:sz w:val="24"/>
          <w:szCs w:val="24"/>
        </w:rPr>
        <w:t>Fonte: Autores.</w:t>
      </w:r>
    </w:p>
    <w:p w:rsidR="00D41063" w:rsidRPr="003E5042" w:rsidRDefault="00D41063" w:rsidP="00C76F73">
      <w:pPr>
        <w:spacing w:line="360" w:lineRule="auto"/>
        <w:jc w:val="both"/>
        <w:rPr>
          <w:rFonts w:ascii="Arial" w:hAnsi="Arial" w:cs="Arial"/>
          <w:sz w:val="24"/>
          <w:szCs w:val="24"/>
        </w:rPr>
      </w:pPr>
    </w:p>
    <w:p w:rsidR="00D41063" w:rsidRDefault="00D41063" w:rsidP="00C76F73">
      <w:pPr>
        <w:spacing w:line="360" w:lineRule="auto"/>
        <w:jc w:val="both"/>
        <w:rPr>
          <w:rFonts w:ascii="Arial" w:hAnsi="Arial" w:cs="Arial"/>
          <w:sz w:val="24"/>
          <w:szCs w:val="24"/>
        </w:rPr>
      </w:pPr>
      <w:r>
        <w:rPr>
          <w:rFonts w:ascii="Arial" w:hAnsi="Arial" w:cs="Arial"/>
          <w:sz w:val="24"/>
          <w:szCs w:val="24"/>
        </w:rPr>
        <w:tab/>
        <w:t xml:space="preserve">Montagem do ambiente, parte 2 – Área de </w:t>
      </w:r>
      <w:r w:rsidRPr="00072269">
        <w:rPr>
          <w:rFonts w:ascii="Arial" w:hAnsi="Arial" w:cs="Arial"/>
          <w:i/>
          <w:sz w:val="24"/>
          <w:szCs w:val="24"/>
        </w:rPr>
        <w:t>Staging</w:t>
      </w:r>
    </w:p>
    <w:p w:rsidR="00D41063" w:rsidRDefault="00D41063" w:rsidP="00C76F73">
      <w:pPr>
        <w:spacing w:line="360" w:lineRule="auto"/>
        <w:jc w:val="both"/>
        <w:rPr>
          <w:rFonts w:ascii="Arial" w:hAnsi="Arial" w:cs="Arial"/>
          <w:sz w:val="24"/>
          <w:szCs w:val="24"/>
        </w:rPr>
      </w:pPr>
      <w:r>
        <w:rPr>
          <w:rFonts w:ascii="Arial" w:hAnsi="Arial" w:cs="Arial"/>
          <w:sz w:val="24"/>
          <w:szCs w:val="24"/>
        </w:rPr>
        <w:tab/>
        <w:t xml:space="preserve">Segundo um dos postulados de </w:t>
      </w:r>
      <w:r w:rsidRPr="005A0B2B">
        <w:rPr>
          <w:rFonts w:ascii="Arial" w:hAnsi="Arial" w:cs="Arial"/>
          <w:sz w:val="24"/>
          <w:szCs w:val="24"/>
        </w:rPr>
        <w:t>Inmon</w:t>
      </w:r>
      <w:r>
        <w:rPr>
          <w:rFonts w:ascii="Arial" w:hAnsi="Arial" w:cs="Arial"/>
          <w:sz w:val="24"/>
          <w:szCs w:val="24"/>
        </w:rPr>
        <w:t xml:space="preserve"> (p. 29, 2005) sobre </w:t>
      </w:r>
      <w:r>
        <w:rPr>
          <w:rFonts w:ascii="Arial" w:hAnsi="Arial" w:cs="Arial"/>
          <w:i/>
          <w:sz w:val="24"/>
          <w:szCs w:val="24"/>
        </w:rPr>
        <w:t>Data Warehouse</w:t>
      </w:r>
      <w:r>
        <w:rPr>
          <w:rFonts w:ascii="Arial" w:hAnsi="Arial" w:cs="Arial"/>
          <w:sz w:val="24"/>
          <w:szCs w:val="24"/>
        </w:rPr>
        <w:t xml:space="preserve">, ele define a não volatilidade, ou seja, os dados dentro do mesmo não podem sofrer alterações. Isso significa que vamos precisar de uma fase intermediária antes de carregar os dados no DW, para isso temos a </w:t>
      </w:r>
      <w:r>
        <w:rPr>
          <w:rFonts w:ascii="Arial" w:hAnsi="Arial" w:cs="Arial"/>
          <w:i/>
          <w:sz w:val="24"/>
          <w:szCs w:val="24"/>
        </w:rPr>
        <w:t xml:space="preserve">Staging Area </w:t>
      </w:r>
      <w:r>
        <w:rPr>
          <w:rFonts w:ascii="Arial" w:hAnsi="Arial" w:cs="Arial"/>
          <w:sz w:val="24"/>
          <w:szCs w:val="24"/>
        </w:rPr>
        <w:t xml:space="preserve">ou </w:t>
      </w:r>
      <w:r>
        <w:rPr>
          <w:rFonts w:ascii="Arial" w:hAnsi="Arial" w:cs="Arial"/>
          <w:i/>
          <w:sz w:val="24"/>
          <w:szCs w:val="24"/>
        </w:rPr>
        <w:t>Data Stage</w:t>
      </w:r>
      <w:r>
        <w:rPr>
          <w:rFonts w:ascii="Arial" w:hAnsi="Arial" w:cs="Arial"/>
          <w:sz w:val="24"/>
          <w:szCs w:val="24"/>
        </w:rPr>
        <w:t xml:space="preserve">. Com todos os dados já na máquina iniciaremos a montagem dos processos de ETL para fazer a carga no Banco de Dados de </w:t>
      </w:r>
      <w:r>
        <w:rPr>
          <w:rFonts w:ascii="Arial" w:hAnsi="Arial" w:cs="Arial"/>
          <w:i/>
          <w:sz w:val="24"/>
          <w:szCs w:val="24"/>
        </w:rPr>
        <w:t>Staging</w:t>
      </w:r>
      <w:r>
        <w:rPr>
          <w:rFonts w:ascii="Arial" w:hAnsi="Arial" w:cs="Arial"/>
          <w:sz w:val="24"/>
          <w:szCs w:val="24"/>
        </w:rPr>
        <w:t>.</w:t>
      </w:r>
    </w:p>
    <w:p w:rsidR="00D41063" w:rsidRDefault="00D41063" w:rsidP="00C76F73">
      <w:pPr>
        <w:spacing w:line="360" w:lineRule="auto"/>
        <w:jc w:val="both"/>
        <w:rPr>
          <w:rFonts w:ascii="Arial" w:hAnsi="Arial" w:cs="Arial"/>
          <w:sz w:val="24"/>
          <w:szCs w:val="24"/>
        </w:rPr>
      </w:pPr>
      <w:r>
        <w:rPr>
          <w:rFonts w:ascii="Arial" w:hAnsi="Arial" w:cs="Arial"/>
          <w:sz w:val="24"/>
          <w:szCs w:val="24"/>
        </w:rPr>
        <w:tab/>
        <w:t xml:space="preserve">Utilizaremos o </w:t>
      </w:r>
      <w:r>
        <w:rPr>
          <w:rFonts w:ascii="Arial" w:hAnsi="Arial" w:cs="Arial"/>
          <w:i/>
          <w:sz w:val="24"/>
          <w:szCs w:val="24"/>
        </w:rPr>
        <w:t xml:space="preserve">Pentaho Data Integrator </w:t>
      </w:r>
      <w:r>
        <w:rPr>
          <w:rFonts w:ascii="Arial" w:hAnsi="Arial" w:cs="Arial"/>
          <w:sz w:val="24"/>
          <w:szCs w:val="24"/>
        </w:rPr>
        <w:t xml:space="preserve">(PDI) para iniciar os processos de ETL, separando as cargas por assunto. O PDI utiliza duas nomenclaturas como </w:t>
      </w:r>
      <w:r>
        <w:rPr>
          <w:rFonts w:ascii="Arial" w:hAnsi="Arial" w:cs="Arial"/>
          <w:i/>
          <w:sz w:val="24"/>
          <w:szCs w:val="24"/>
        </w:rPr>
        <w:t xml:space="preserve">Job </w:t>
      </w:r>
      <w:r>
        <w:rPr>
          <w:rFonts w:ascii="Arial" w:hAnsi="Arial" w:cs="Arial"/>
          <w:sz w:val="24"/>
          <w:szCs w:val="24"/>
        </w:rPr>
        <w:t xml:space="preserve">e </w:t>
      </w:r>
      <w:r>
        <w:rPr>
          <w:rFonts w:ascii="Arial" w:hAnsi="Arial" w:cs="Arial"/>
          <w:i/>
          <w:sz w:val="24"/>
          <w:szCs w:val="24"/>
        </w:rPr>
        <w:t>Transformation</w:t>
      </w:r>
      <w:r>
        <w:rPr>
          <w:rFonts w:ascii="Arial" w:hAnsi="Arial" w:cs="Arial"/>
          <w:sz w:val="24"/>
          <w:szCs w:val="24"/>
        </w:rPr>
        <w:t xml:space="preserve">, o primeiro é a menor ação possível que o programa possa fazer como ler o arquivo ou fazer inserção, e o segundo é um conjunto de outros </w:t>
      </w:r>
      <w:r>
        <w:rPr>
          <w:rFonts w:ascii="Arial" w:hAnsi="Arial" w:cs="Arial"/>
          <w:i/>
          <w:sz w:val="24"/>
          <w:szCs w:val="24"/>
        </w:rPr>
        <w:t>Jobs</w:t>
      </w:r>
      <w:r>
        <w:rPr>
          <w:rFonts w:ascii="Arial" w:hAnsi="Arial" w:cs="Arial"/>
          <w:sz w:val="24"/>
          <w:szCs w:val="24"/>
        </w:rPr>
        <w:t xml:space="preserve"> para fazer uma execução única e contínua.</w:t>
      </w:r>
    </w:p>
    <w:p w:rsidR="00D41063" w:rsidRDefault="00D41063" w:rsidP="00C76F73">
      <w:pPr>
        <w:spacing w:line="360" w:lineRule="auto"/>
        <w:jc w:val="both"/>
        <w:rPr>
          <w:rFonts w:ascii="Arial" w:hAnsi="Arial" w:cs="Arial"/>
          <w:sz w:val="24"/>
          <w:szCs w:val="24"/>
        </w:rPr>
      </w:pPr>
      <w:r>
        <w:rPr>
          <w:noProof/>
        </w:rPr>
        <w:pict>
          <v:shape id="Imagem 8" o:spid="_x0000_i1030" type="#_x0000_t75" alt="https://help.pentaho.com/@api/deki/files/17546/PDI_JobExecutor_Samples.png?revision=1" style="width:464.25pt;height:321.75pt;visibility:visible">
            <v:imagedata r:id="rId12" o:title=""/>
          </v:shape>
        </w:pict>
      </w:r>
    </w:p>
    <w:p w:rsidR="00D41063" w:rsidRDefault="00D41063" w:rsidP="00C76F73">
      <w:pPr>
        <w:spacing w:line="360" w:lineRule="auto"/>
        <w:jc w:val="both"/>
        <w:rPr>
          <w:rFonts w:ascii="Arial" w:hAnsi="Arial" w:cs="Arial"/>
          <w:sz w:val="24"/>
          <w:szCs w:val="24"/>
        </w:rPr>
      </w:pPr>
      <w:r>
        <w:rPr>
          <w:rFonts w:ascii="Arial" w:hAnsi="Arial" w:cs="Arial"/>
          <w:sz w:val="24"/>
          <w:szCs w:val="24"/>
        </w:rPr>
        <w:t xml:space="preserve">Figura x – Exemplo de </w:t>
      </w:r>
      <w:r>
        <w:rPr>
          <w:rFonts w:ascii="Arial" w:hAnsi="Arial" w:cs="Arial"/>
          <w:i/>
          <w:sz w:val="24"/>
          <w:szCs w:val="24"/>
        </w:rPr>
        <w:t xml:space="preserve">Transformation </w:t>
      </w:r>
      <w:r>
        <w:rPr>
          <w:rFonts w:ascii="Arial" w:hAnsi="Arial" w:cs="Arial"/>
          <w:sz w:val="24"/>
          <w:szCs w:val="24"/>
        </w:rPr>
        <w:t xml:space="preserve">e </w:t>
      </w:r>
      <w:r>
        <w:rPr>
          <w:rFonts w:ascii="Arial" w:hAnsi="Arial" w:cs="Arial"/>
          <w:i/>
          <w:sz w:val="24"/>
          <w:szCs w:val="24"/>
        </w:rPr>
        <w:t>Job</w:t>
      </w:r>
      <w:r>
        <w:rPr>
          <w:rFonts w:ascii="Arial" w:hAnsi="Arial" w:cs="Arial"/>
          <w:sz w:val="24"/>
          <w:szCs w:val="24"/>
        </w:rPr>
        <w:t>.</w:t>
      </w:r>
    </w:p>
    <w:p w:rsidR="00D41063" w:rsidRDefault="00D41063" w:rsidP="00C76F73">
      <w:pPr>
        <w:spacing w:line="360" w:lineRule="auto"/>
        <w:jc w:val="both"/>
        <w:rPr>
          <w:rFonts w:ascii="Arial" w:hAnsi="Arial" w:cs="Arial"/>
          <w:sz w:val="24"/>
          <w:szCs w:val="24"/>
        </w:rPr>
      </w:pPr>
      <w:r>
        <w:rPr>
          <w:rFonts w:ascii="Arial" w:hAnsi="Arial" w:cs="Arial"/>
          <w:sz w:val="24"/>
          <w:szCs w:val="24"/>
        </w:rPr>
        <w:t>Fonte: Pentaho.</w:t>
      </w:r>
    </w:p>
    <w:p w:rsidR="00D41063" w:rsidRDefault="00D41063" w:rsidP="00C76F73">
      <w:pPr>
        <w:spacing w:line="360" w:lineRule="auto"/>
        <w:jc w:val="both"/>
        <w:rPr>
          <w:rFonts w:ascii="Arial" w:hAnsi="Arial" w:cs="Arial"/>
          <w:sz w:val="24"/>
          <w:szCs w:val="24"/>
        </w:rPr>
      </w:pPr>
      <w:r>
        <w:rPr>
          <w:rFonts w:ascii="Arial" w:hAnsi="Arial" w:cs="Arial"/>
          <w:sz w:val="24"/>
          <w:szCs w:val="24"/>
        </w:rPr>
        <w:tab/>
        <w:t>A carga dos arquivos no BD é composta por três passos, em que o PDI encontra os arquivos, prepara-os para a inserção e grava-os no BD.</w:t>
      </w:r>
    </w:p>
    <w:p w:rsidR="00D41063" w:rsidRDefault="00D41063" w:rsidP="00C76F73">
      <w:pPr>
        <w:spacing w:line="360" w:lineRule="auto"/>
        <w:jc w:val="both"/>
        <w:rPr>
          <w:rFonts w:ascii="Arial" w:hAnsi="Arial" w:cs="Arial"/>
          <w:sz w:val="24"/>
          <w:szCs w:val="24"/>
        </w:rPr>
      </w:pPr>
      <w:r w:rsidRPr="0058676B">
        <w:rPr>
          <w:rFonts w:ascii="Arial" w:hAnsi="Arial" w:cs="Arial"/>
          <w:noProof/>
          <w:sz w:val="24"/>
          <w:szCs w:val="24"/>
        </w:rPr>
        <w:pict>
          <v:shape id="Imagem 9" o:spid="_x0000_i1031" type="#_x0000_t75" style="width:467.25pt;height:87pt;visibility:visible">
            <v:imagedata r:id="rId13" o:title=""/>
          </v:shape>
        </w:pict>
      </w:r>
      <w:r>
        <w:rPr>
          <w:rFonts w:ascii="Arial" w:hAnsi="Arial" w:cs="Arial"/>
          <w:sz w:val="24"/>
          <w:szCs w:val="24"/>
        </w:rPr>
        <w:t>Figura x – Visão da ETL.</w:t>
      </w:r>
    </w:p>
    <w:p w:rsidR="00D41063" w:rsidRDefault="00D41063" w:rsidP="00C76F73">
      <w:pPr>
        <w:spacing w:line="360" w:lineRule="auto"/>
        <w:jc w:val="both"/>
        <w:rPr>
          <w:rFonts w:ascii="Arial" w:hAnsi="Arial" w:cs="Arial"/>
          <w:sz w:val="24"/>
          <w:szCs w:val="24"/>
        </w:rPr>
      </w:pPr>
      <w:r>
        <w:rPr>
          <w:rFonts w:ascii="Arial" w:hAnsi="Arial" w:cs="Arial"/>
          <w:sz w:val="24"/>
          <w:szCs w:val="24"/>
        </w:rPr>
        <w:t>Fonte: Autores.</w:t>
      </w:r>
    </w:p>
    <w:p w:rsidR="00D41063" w:rsidRDefault="00D41063" w:rsidP="00C76F73">
      <w:pPr>
        <w:spacing w:line="360" w:lineRule="auto"/>
        <w:jc w:val="both"/>
        <w:rPr>
          <w:rFonts w:ascii="Arial" w:hAnsi="Arial" w:cs="Arial"/>
          <w:sz w:val="24"/>
          <w:szCs w:val="24"/>
        </w:rPr>
      </w:pPr>
      <w:r>
        <w:rPr>
          <w:rFonts w:ascii="Arial" w:hAnsi="Arial" w:cs="Arial"/>
          <w:sz w:val="24"/>
          <w:szCs w:val="24"/>
        </w:rPr>
        <w:tab/>
        <w:t>Os passos são descritos abaixo:</w:t>
      </w:r>
    </w:p>
    <w:p w:rsidR="00D41063" w:rsidRDefault="00D41063" w:rsidP="00C76F73">
      <w:pPr>
        <w:spacing w:line="360" w:lineRule="auto"/>
        <w:jc w:val="both"/>
        <w:rPr>
          <w:rFonts w:ascii="Arial" w:hAnsi="Arial" w:cs="Arial"/>
          <w:sz w:val="24"/>
          <w:szCs w:val="24"/>
        </w:rPr>
      </w:pPr>
      <w:r>
        <w:rPr>
          <w:rFonts w:ascii="Arial" w:hAnsi="Arial" w:cs="Arial"/>
          <w:sz w:val="24"/>
          <w:szCs w:val="24"/>
        </w:rPr>
        <w:tab/>
      </w:r>
      <w:r>
        <w:rPr>
          <w:rFonts w:ascii="Arial" w:hAnsi="Arial" w:cs="Arial"/>
          <w:i/>
          <w:sz w:val="24"/>
          <w:szCs w:val="24"/>
        </w:rPr>
        <w:t>Get</w:t>
      </w:r>
      <w:r>
        <w:rPr>
          <w:rFonts w:ascii="Arial" w:hAnsi="Arial" w:cs="Arial"/>
          <w:sz w:val="24"/>
          <w:szCs w:val="24"/>
        </w:rPr>
        <w:t xml:space="preserve"> </w:t>
      </w:r>
      <w:r>
        <w:rPr>
          <w:rFonts w:ascii="Arial" w:hAnsi="Arial" w:cs="Arial"/>
          <w:i/>
          <w:sz w:val="24"/>
          <w:szCs w:val="24"/>
        </w:rPr>
        <w:t>File Names</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D41063" w:rsidRDefault="00D41063" w:rsidP="00C76F73">
      <w:pPr>
        <w:spacing w:line="360" w:lineRule="auto"/>
        <w:jc w:val="both"/>
        <w:rPr>
          <w:rFonts w:ascii="Arial" w:hAnsi="Arial" w:cs="Arial"/>
          <w:sz w:val="24"/>
          <w:szCs w:val="24"/>
        </w:rPr>
      </w:pPr>
      <w:r>
        <w:rPr>
          <w:rFonts w:ascii="Arial" w:hAnsi="Arial" w:cs="Arial"/>
          <w:sz w:val="24"/>
          <w:szCs w:val="24"/>
        </w:rPr>
        <w:tab/>
      </w:r>
      <w:r>
        <w:rPr>
          <w:rFonts w:ascii="Arial" w:hAnsi="Arial" w:cs="Arial"/>
          <w:i/>
          <w:sz w:val="24"/>
          <w:szCs w:val="24"/>
        </w:rPr>
        <w:t>Text File Input</w:t>
      </w:r>
      <w:r>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D41063" w:rsidRPr="00072269" w:rsidRDefault="00D41063" w:rsidP="00C76F73">
      <w:pPr>
        <w:spacing w:line="360" w:lineRule="auto"/>
        <w:jc w:val="both"/>
        <w:rPr>
          <w:rFonts w:ascii="Arial" w:hAnsi="Arial" w:cs="Arial"/>
          <w:sz w:val="24"/>
          <w:szCs w:val="24"/>
        </w:rPr>
      </w:pPr>
      <w:r>
        <w:rPr>
          <w:rFonts w:ascii="Arial" w:hAnsi="Arial" w:cs="Arial"/>
          <w:sz w:val="24"/>
          <w:szCs w:val="24"/>
        </w:rPr>
        <w:tab/>
      </w:r>
      <w:r>
        <w:rPr>
          <w:rFonts w:ascii="Arial" w:hAnsi="Arial" w:cs="Arial"/>
          <w:i/>
          <w:sz w:val="24"/>
          <w:szCs w:val="24"/>
        </w:rPr>
        <w:t>Table Output</w:t>
      </w:r>
      <w:r>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D41063" w:rsidRDefault="00D41063" w:rsidP="00C76F73">
      <w:pPr>
        <w:spacing w:line="360" w:lineRule="auto"/>
        <w:jc w:val="both"/>
        <w:rPr>
          <w:rFonts w:ascii="Arial" w:hAnsi="Arial" w:cs="Arial"/>
          <w:sz w:val="24"/>
          <w:szCs w:val="24"/>
        </w:rPr>
      </w:pPr>
    </w:p>
    <w:p w:rsidR="00D41063" w:rsidRDefault="00D41063" w:rsidP="00C76F73">
      <w:pPr>
        <w:spacing w:line="360" w:lineRule="auto"/>
        <w:jc w:val="both"/>
        <w:rPr>
          <w:rFonts w:ascii="Arial" w:hAnsi="Arial" w:cs="Arial"/>
          <w:sz w:val="24"/>
          <w:szCs w:val="24"/>
        </w:rPr>
      </w:pPr>
    </w:p>
    <w:p w:rsidR="00D41063" w:rsidRPr="00727133" w:rsidRDefault="00D41063" w:rsidP="00C76F73">
      <w:pPr>
        <w:spacing w:line="360" w:lineRule="auto"/>
        <w:jc w:val="both"/>
        <w:rPr>
          <w:rFonts w:ascii="Arial" w:hAnsi="Arial" w:cs="Arial"/>
          <w:sz w:val="24"/>
          <w:szCs w:val="24"/>
        </w:rPr>
      </w:pPr>
      <w:r>
        <w:rPr>
          <w:rFonts w:ascii="Arial" w:hAnsi="Arial" w:cs="Arial"/>
          <w:sz w:val="24"/>
          <w:szCs w:val="24"/>
        </w:rPr>
        <w:tab/>
      </w:r>
      <w:r w:rsidRPr="0058676B">
        <w:rPr>
          <w:rFonts w:ascii="Arial" w:hAnsi="Arial" w:cs="Arial"/>
          <w:noProof/>
          <w:sz w:val="24"/>
          <w:szCs w:val="24"/>
        </w:rPr>
        <w:pict>
          <v:shape id="Imagem 7" o:spid="_x0000_i1032" type="#_x0000_t75" style="width:464.25pt;height:99.75pt;visibility:visible">
            <v:imagedata r:id="rId14" o:title=""/>
          </v:shape>
        </w:pict>
      </w:r>
    </w:p>
    <w:p w:rsidR="00D41063" w:rsidRDefault="00D41063" w:rsidP="00C76F73">
      <w:pPr>
        <w:spacing w:line="360" w:lineRule="auto"/>
        <w:jc w:val="both"/>
        <w:rPr>
          <w:rFonts w:ascii="Arial" w:hAnsi="Arial" w:cs="Arial"/>
          <w:sz w:val="24"/>
          <w:szCs w:val="24"/>
        </w:rPr>
      </w:pPr>
      <w:r>
        <w:rPr>
          <w:rFonts w:ascii="Arial" w:hAnsi="Arial" w:cs="Arial"/>
          <w:sz w:val="24"/>
          <w:szCs w:val="24"/>
        </w:rPr>
        <w:t>Figura x – Visão geral da ETL de carga.</w:t>
      </w:r>
    </w:p>
    <w:p w:rsidR="00D41063" w:rsidRDefault="00D41063" w:rsidP="00C76F73">
      <w:pPr>
        <w:spacing w:line="360" w:lineRule="auto"/>
        <w:jc w:val="both"/>
        <w:rPr>
          <w:rFonts w:ascii="Arial" w:hAnsi="Arial" w:cs="Arial"/>
          <w:sz w:val="24"/>
          <w:szCs w:val="24"/>
        </w:rPr>
      </w:pPr>
      <w:r>
        <w:rPr>
          <w:rFonts w:ascii="Arial" w:hAnsi="Arial" w:cs="Arial"/>
          <w:sz w:val="24"/>
          <w:szCs w:val="24"/>
        </w:rPr>
        <w:t>Fonte: Autores.</w:t>
      </w:r>
    </w:p>
    <w:p w:rsidR="00D41063" w:rsidRDefault="00D41063" w:rsidP="00C76F73">
      <w:pPr>
        <w:spacing w:line="360" w:lineRule="auto"/>
        <w:jc w:val="both"/>
        <w:rPr>
          <w:rFonts w:ascii="Arial" w:hAnsi="Arial" w:cs="Arial"/>
          <w:sz w:val="24"/>
          <w:szCs w:val="24"/>
        </w:rPr>
      </w:pPr>
    </w:p>
    <w:p w:rsidR="00D41063" w:rsidRPr="005746C3" w:rsidRDefault="00D41063" w:rsidP="00C76F73">
      <w:pPr>
        <w:spacing w:line="360" w:lineRule="auto"/>
        <w:jc w:val="both"/>
        <w:rPr>
          <w:rFonts w:ascii="Arial" w:hAnsi="Arial" w:cs="Arial"/>
          <w:sz w:val="24"/>
          <w:szCs w:val="24"/>
        </w:rPr>
      </w:pPr>
    </w:p>
    <w:sectPr w:rsidR="00D41063" w:rsidRPr="005746C3" w:rsidSect="00D07EA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游明朝">
    <w:altName w:val="MS Gothic"/>
    <w:panose1 w:val="00000000000000000000"/>
    <w:charset w:val="80"/>
    <w:family w:val="roman"/>
    <w:notTrueType/>
    <w:pitch w:val="default"/>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10C64"/>
    <w:rsid w:val="00024867"/>
    <w:rsid w:val="00072269"/>
    <w:rsid w:val="000C6E60"/>
    <w:rsid w:val="00124833"/>
    <w:rsid w:val="00195FCC"/>
    <w:rsid w:val="00203C4D"/>
    <w:rsid w:val="002F7B39"/>
    <w:rsid w:val="003E5042"/>
    <w:rsid w:val="00493BC2"/>
    <w:rsid w:val="004B213D"/>
    <w:rsid w:val="004F67B3"/>
    <w:rsid w:val="00522819"/>
    <w:rsid w:val="005251F2"/>
    <w:rsid w:val="005746C3"/>
    <w:rsid w:val="0058676B"/>
    <w:rsid w:val="005A0B2B"/>
    <w:rsid w:val="006142DE"/>
    <w:rsid w:val="006B4353"/>
    <w:rsid w:val="00727133"/>
    <w:rsid w:val="007C3503"/>
    <w:rsid w:val="009D18CB"/>
    <w:rsid w:val="00AC2ED7"/>
    <w:rsid w:val="00B46607"/>
    <w:rsid w:val="00B93CE7"/>
    <w:rsid w:val="00BB1067"/>
    <w:rsid w:val="00BF2770"/>
    <w:rsid w:val="00C76F73"/>
    <w:rsid w:val="00CA6C74"/>
    <w:rsid w:val="00CE088B"/>
    <w:rsid w:val="00D07EAA"/>
    <w:rsid w:val="00D41063"/>
    <w:rsid w:val="00D95A99"/>
    <w:rsid w:val="00F059D1"/>
    <w:rsid w:val="00F61B1F"/>
    <w:rsid w:val="00F73105"/>
    <w:rsid w:val="00FB72A5"/>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游明朝"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EAA"/>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tp://geoftp.ibge.gov.br/organizacao_do_territorio/estrutura_territorial/divisao_territorial/2018/" TargetMode="External"/><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inep.gov.br/web/guest/microdados" TargetMode="External"/><Relationship Id="rId11" Type="http://schemas.openxmlformats.org/officeDocument/2006/relationships/image" Target="media/image5.jpeg"/><Relationship Id="rId5" Type="http://schemas.openxmlformats.org/officeDocument/2006/relationships/hyperlink" Target="http://dados.gov.br/dataset/microdados-do-censo-escolar"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287</TotalTime>
  <Pages>7</Pages>
  <Words>810</Words>
  <Characters>4376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5</cp:revision>
  <dcterms:created xsi:type="dcterms:W3CDTF">2019-09-28T13:30:00Z</dcterms:created>
  <dcterms:modified xsi:type="dcterms:W3CDTF">2019-10-01T16:55:00Z</dcterms:modified>
</cp:coreProperties>
</file>