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AAC"/>
          <w:sz w:val="20"/>
          <w:szCs w:val="20"/>
        </w:rPr>
        <w:t xml:space="preserve">PROJECT BRIEF</w:t>
      </w:r>
    </w:p>
    <w:p>
      <w:pPr>
        <w:spacing w:after="60"/>
      </w:pPr>
      <w:r>
        <w:rPr>
          <w:b/>
          <w:bCs/>
          <w:color w:val="1F2A44"/>
          <w:sz w:val="36"/>
          <w:szCs w:val="36"/>
        </w:rPr>
        <w:t xml:space="preserve">Adaptive Human-AI Collaboration Layer — Demo / POC</w:t>
      </w:r>
    </w:p>
    <w:p>
      <w:pPr>
        <w:spacing w:after="300"/>
      </w:pPr>
      <w:r>
        <w:rPr>
          <w:i/>
          <w:iCs/>
          <w:color w:val="595959"/>
          <w:sz w:val="22"/>
          <w:szCs w:val="22"/>
        </w:rPr>
        <w:t xml:space="preserve">Presentation-Layer Proof of Concept · Employee Onboarding Scenario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EEF1F7" w:color="auto" w:val="clear"/>
            <w:tcMar>
              <w:top w:type="dxa" w:w="100"/>
              <w:left w:type="dxa" w:w="120"/>
              <w:bottom w:type="dxa" w:w="100"/>
              <w:right w:type="dxa" w:w="120"/>
            </w:tcMar>
          </w:tcPr>
          <w:p>
            <w:r>
              <w:rPr>
                <w:b/>
                <w:bCs/>
                <w:color w:val="1F2A44"/>
                <w:sz w:val="20"/>
                <w:szCs w:val="20"/>
              </w:rPr>
              <w:t xml:space="preserve">Prepared by</w:t>
            </w:r>
          </w:p>
        </w:tc>
        <w:tc>
          <w:tcPr>
            <w:tcW w:type="dxa" w:w="7300"/>
            <w:tcMar>
              <w:top w:type="dxa" w:w="100"/>
              <w:left w:type="dxa" w:w="120"/>
              <w:bottom w:type="dxa" w:w="100"/>
              <w:right w:type="dxa" w:w="120"/>
            </w:tcMar>
          </w:tcPr>
          <w:p>
            <w:r>
              <w:rPr>
                <w:b w:val="false"/>
                <w:bCs w:val="false"/>
                <w:color w:val="000000"/>
                <w:sz w:val="20"/>
                <w:szCs w:val="20"/>
              </w:rPr>
              <w:t xml:space="preserve">Tom Kotlarek (Tom.Kotlarek@nttdata.com)</w:t>
            </w:r>
          </w:p>
        </w:tc>
      </w:tr>
      <w:tr>
        <w:tc>
          <w:tcPr>
            <w:tcW w:type="dxa" w:w="2600"/>
            <w:shd w:fill="EEF1F7" w:color="auto" w:val="clear"/>
            <w:tcMar>
              <w:top w:type="dxa" w:w="100"/>
              <w:left w:type="dxa" w:w="120"/>
              <w:bottom w:type="dxa" w:w="100"/>
              <w:right w:type="dxa" w:w="120"/>
            </w:tcMar>
          </w:tcPr>
          <w:p>
            <w:r>
              <w:rPr>
                <w:b/>
                <w:bCs/>
                <w:color w:val="1F2A44"/>
                <w:sz w:val="20"/>
                <w:szCs w:val="20"/>
              </w:rPr>
              <w:t xml:space="preserve">Date</w:t>
            </w:r>
          </w:p>
        </w:tc>
        <w:tc>
          <w:tcPr>
            <w:tcW w:type="dxa" w:w="7300"/>
            <w:tcMar>
              <w:top w:type="dxa" w:w="100"/>
              <w:left w:type="dxa" w:w="120"/>
              <w:bottom w:type="dxa" w:w="100"/>
              <w:right w:type="dxa" w:w="120"/>
            </w:tcMar>
          </w:tcPr>
          <w:p>
            <w:r>
              <w:rPr>
                <w:b w:val="false"/>
                <w:bCs w:val="false"/>
                <w:color w:val="000000"/>
                <w:sz w:val="20"/>
                <w:szCs w:val="20"/>
              </w:rPr>
              <w:t xml:space="preserve">July 17, 2026</w:t>
            </w:r>
          </w:p>
        </w:tc>
      </w:tr>
      <w:tr>
        <w:tc>
          <w:tcPr>
            <w:tcW w:type="dxa" w:w="2600"/>
            <w:shd w:fill="EEF1F7" w:color="auto" w:val="clear"/>
            <w:tcMar>
              <w:top w:type="dxa" w:w="100"/>
              <w:left w:type="dxa" w:w="120"/>
              <w:bottom w:type="dxa" w:w="100"/>
              <w:right w:type="dxa" w:w="120"/>
            </w:tcMar>
          </w:tcPr>
          <w:p>
            <w:r>
              <w:rPr>
                <w:b/>
                <w:bCs/>
                <w:color w:val="1F2A44"/>
                <w:sz w:val="20"/>
                <w:szCs w:val="20"/>
              </w:rPr>
              <w:t xml:space="preserve">Status</w:t>
            </w:r>
          </w:p>
        </w:tc>
        <w:tc>
          <w:tcPr>
            <w:tcW w:type="dxa" w:w="7300"/>
            <w:tcMar>
              <w:top w:type="dxa" w:w="100"/>
              <w:left w:type="dxa" w:w="120"/>
              <w:bottom w:type="dxa" w:w="100"/>
              <w:right w:type="dxa" w:w="120"/>
            </w:tcMar>
          </w:tcPr>
          <w:p>
            <w:r>
              <w:rPr>
                <w:b w:val="false"/>
                <w:bCs w:val="false"/>
                <w:color w:val="000000"/>
                <w:sz w:val="20"/>
                <w:szCs w:val="20"/>
              </w:rPr>
              <w:t xml:space="preserve">Proposed — pending technical feasibility review</w:t>
            </w:r>
          </w:p>
        </w:tc>
      </w:tr>
      <w:tr>
        <w:tc>
          <w:tcPr>
            <w:tcW w:type="dxa" w:w="2600"/>
            <w:shd w:fill="EEF1F7" w:color="auto" w:val="clear"/>
            <w:tcMar>
              <w:top w:type="dxa" w:w="100"/>
              <w:left w:type="dxa" w:w="120"/>
              <w:bottom w:type="dxa" w:w="100"/>
              <w:right w:type="dxa" w:w="120"/>
            </w:tcMar>
          </w:tcPr>
          <w:p>
            <w:r>
              <w:rPr>
                <w:b/>
                <w:bCs/>
                <w:color w:val="1F2A44"/>
                <w:sz w:val="20"/>
                <w:szCs w:val="20"/>
              </w:rPr>
              <w:t xml:space="preserve">Requested review</w:t>
            </w:r>
          </w:p>
        </w:tc>
        <w:tc>
          <w:tcPr>
            <w:tcW w:type="dxa" w:w="7300"/>
            <w:tcMar>
              <w:top w:type="dxa" w:w="100"/>
              <w:left w:type="dxa" w:w="120"/>
              <w:bottom w:type="dxa" w:w="100"/>
              <w:right w:type="dxa" w:w="120"/>
            </w:tcMar>
          </w:tcPr>
          <w:p>
            <w:r>
              <w:rPr>
                <w:b w:val="false"/>
                <w:bCs w:val="false"/>
                <w:color w:val="000000"/>
                <w:sz w:val="20"/>
                <w:szCs w:val="20"/>
              </w:rPr>
              <w:t xml:space="preserve">Jason (technical feasibility) + available bench engineers for a build</w:t>
            </w:r>
          </w:p>
        </w:tc>
      </w:tr>
    </w:tbl>
    <w:p>
      <w:pPr>
        <w:pStyle w:val="Heading1"/>
        <w:pBdr>
          <w:bottom w:val="single" w:color="1F2A44" w:sz="6" w:space="4"/>
        </w:pBdr>
        <w:spacing w:after="140" w:before="320"/>
      </w:pPr>
      <w:r>
        <w:rPr>
          <w:b/>
          <w:bCs/>
          <w:color w:val="1F2A44"/>
          <w:sz w:val="26"/>
          <w:szCs w:val="26"/>
        </w:rPr>
        <w:t xml:space="preserve">1. Background</w:t>
      </w:r>
    </w:p>
    <w:p>
      <w:pPr>
        <w:spacing w:after="140"/>
      </w:pPr>
      <w:r>
        <w:rPr>
          <w:sz w:val="21"/>
          <w:szCs w:val="21"/>
        </w:rPr>
        <w:t xml:space="preserve">Current enterprise AI systems (e.g., AIVista) are built to understand enterprise knowledge, reason over data, and execute tasks. They are not built to continuously adapt how they collaborate with each individual user. Two people doing the same job — reviewing the same case, the same record, the same recommendation — may want that information delivered in very different ways: one wants full detail and a recommended decision spelled out; another wants a top-level summary with a short list of options ranked by risk.</w:t>
      </w:r>
    </w:p>
    <w:p>
      <w:pPr>
        <w:spacing w:after="140"/>
      </w:pPr>
      <w:r>
        <w:rPr>
          <w:sz w:val="21"/>
          <w:szCs w:val="21"/>
        </w:rPr>
        <w:t xml:space="preserve">The idea originated from a question about AIVista's underwriting-as-a-service model: if the system reasons the same way for every user, how does it adapt to how each person likes to receive information? This brief scopes a demo/POC to test that question technically before it goes further into the talk track.</w:t>
      </w:r>
    </w:p>
    <w:p>
      <w:pPr>
        <w:pStyle w:val="Heading1"/>
        <w:pBdr>
          <w:bottom w:val="single" w:color="1F2A44" w:sz="6" w:space="4"/>
        </w:pBdr>
        <w:spacing w:after="140" w:before="320"/>
      </w:pPr>
      <w:r>
        <w:rPr>
          <w:b/>
          <w:bCs/>
          <w:color w:val="1F2A44"/>
          <w:sz w:val="26"/>
          <w:szCs w:val="26"/>
        </w:rPr>
        <w:t xml:space="preserve">2. Objective</w:t>
      </w:r>
    </w:p>
    <w:p>
      <w:pPr>
        <w:spacing w:after="140"/>
      </w:pPr>
      <w:r>
        <w:rPr>
          <w:b/>
          <w:bCs/>
          <w:sz w:val="21"/>
          <w:szCs w:val="21"/>
        </w:rPr>
        <w:t xml:space="preserve">Research question: </w:t>
      </w:r>
      <w:r>
        <w:rPr>
          <w:sz w:val="21"/>
          <w:szCs w:val="21"/>
        </w:rPr>
        <w:t xml:space="preserve">Can enterprise AI evolve beyond understanding the work to continuously improving how it collaborates with the people performing the work — personalizing collaboration, not just content?</w:t>
      </w:r>
    </w:p>
    <w:p>
      <w:pPr>
        <w:spacing w:after="140"/>
      </w:pPr>
      <w:r>
        <w:rPr>
          <w:sz w:val="21"/>
          <w:szCs w:val="21"/>
        </w:rPr>
        <w:t xml:space="preserve">The POC exists to answer a narrower, testable version of that question:</w:t>
      </w:r>
    </w:p>
    <w:p>
      <w:pPr>
        <w:pStyle w:val="ListParagraph"/>
        <w:numPr>
          <w:ilvl w:val="0"/>
          <w:numId w:val="2"/>
        </w:numPr>
        <w:spacing w:after="60"/>
      </w:pPr>
      <w:r>
        <w:rPr>
          <w:sz w:val="21"/>
          <w:szCs w:val="21"/>
        </w:rPr>
        <w:t xml:space="preserve">Can an agent observe a user's behavior and context and build a working model of how they prefer to receive information?</w:t>
      </w:r>
    </w:p>
    <w:p>
      <w:pPr>
        <w:pStyle w:val="ListParagraph"/>
        <w:numPr>
          <w:ilvl w:val="0"/>
          <w:numId w:val="2"/>
        </w:numPr>
        <w:spacing w:after="60"/>
      </w:pPr>
      <w:r>
        <w:rPr>
          <w:sz w:val="21"/>
          <w:szCs w:val="21"/>
        </w:rPr>
        <w:t xml:space="preserve">Can a second agent take that model plus a fixed underlying answer and adapt only how it's presented — without changing the substance of the answer?</w:t>
      </w:r>
    </w:p>
    <w:p>
      <w:pPr>
        <w:spacing w:after="140"/>
      </w:pPr>
      <w:r>
        <w:rPr>
          <w:sz w:val="21"/>
          <w:szCs w:val="21"/>
        </w:rPr>
        <w:t xml:space="preserve">This is a feasibility test, not a production build. The goal is a working demo that a technical reviewer (Jason) and 1–2 bench engineers can stand up quickly to prove the concept holds together end to end.</w:t>
      </w:r>
    </w:p>
    <w:p>
      <w:pPr>
        <w:pStyle w:val="Heading1"/>
        <w:pBdr>
          <w:bottom w:val="single" w:color="1F2A44" w:sz="6" w:space="4"/>
        </w:pBdr>
        <w:spacing w:after="140" w:before="320"/>
      </w:pPr>
      <w:r>
        <w:rPr>
          <w:b/>
          <w:bCs/>
          <w:color w:val="1F2A44"/>
          <w:sz w:val="26"/>
          <w:szCs w:val="26"/>
        </w:rPr>
        <w:t xml:space="preserve">3. Scope</w:t>
      </w:r>
    </w:p>
    <w:p>
      <w:pPr>
        <w:pStyle w:val="Heading2"/>
        <w:spacing w:after="100" w:before="220"/>
      </w:pPr>
      <w:r>
        <w:rPr>
          <w:b/>
          <w:bCs/>
          <w:color w:val="2E5AAC"/>
          <w:sz w:val="22"/>
          <w:szCs w:val="22"/>
        </w:rPr>
        <w:t xml:space="preserve">In scope: presentation layer only</w:t>
      </w:r>
    </w:p>
    <w:p>
      <w:pPr>
        <w:spacing w:after="140"/>
      </w:pPr>
      <w:r>
        <w:rPr>
          <w:sz w:val="21"/>
          <w:szCs w:val="21"/>
        </w:rPr>
        <w:t xml:space="preserve">The full architecture described in the source concept has four layers. This POC deliberately isolates the two layers closest to the open question and treats the other two as given/mocked inputs: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300"/>
      </w:tblGrid>
      <w:tr>
        <w:trPr>
          <w:tblHeader/>
        </w:trPr>
        <w:tc>
          <w:tcPr>
            <w:tcW w:type="dxa" w:w="2200"/>
            <w:shd w:fill="1F2A44" w:color="auto" w:val="clear"/>
            <w:tcMar>
              <w:top w:type="dxa" w:w="100"/>
              <w:left w:type="dxa" w:w="120"/>
              <w:bottom w:type="dxa" w:w="100"/>
              <w:right w:type="dxa" w:w="120"/>
            </w:tcMar>
          </w:tcPr>
          <w:p>
            <w:r>
              <w:rPr>
                <w:b/>
                <w:bCs/>
                <w:color w:val="FFFFFF"/>
                <w:sz w:val="20"/>
                <w:szCs w:val="20"/>
              </w:rPr>
              <w:t xml:space="preserve">Layer</w:t>
            </w:r>
          </w:p>
        </w:tc>
        <w:tc>
          <w:tcPr>
            <w:tcW w:type="dxa" w:w="2400"/>
            <w:shd w:fill="1F2A44" w:color="auto" w:val="clear"/>
            <w:tcMar>
              <w:top w:type="dxa" w:w="100"/>
              <w:left w:type="dxa" w:w="120"/>
              <w:bottom w:type="dxa" w:w="100"/>
              <w:right w:type="dxa" w:w="120"/>
            </w:tcMar>
          </w:tcPr>
          <w:p>
            <w:r>
              <w:rPr>
                <w:b/>
                <w:bCs/>
                <w:color w:val="FFFFFF"/>
                <w:sz w:val="20"/>
                <w:szCs w:val="20"/>
              </w:rPr>
              <w:t xml:space="preserve">Status for POC</w:t>
            </w:r>
          </w:p>
        </w:tc>
        <w:tc>
          <w:tcPr>
            <w:tcW w:type="dxa" w:w="5300"/>
            <w:shd w:fill="1F2A44" w:color="auto" w:val="clear"/>
            <w:tcMar>
              <w:top w:type="dxa" w:w="100"/>
              <w:left w:type="dxa" w:w="120"/>
              <w:bottom w:type="dxa" w:w="100"/>
              <w:right w:type="dxa" w:w="120"/>
            </w:tcMar>
          </w:tcPr>
          <w:p>
            <w:r>
              <w:rPr>
                <w:b/>
                <w:bCs/>
                <w:color w:val="FFFFFF"/>
                <w:sz w:val="20"/>
                <w:szCs w:val="20"/>
              </w:rPr>
              <w:t xml:space="preserve">Notes</w:t>
            </w:r>
          </w:p>
        </w:tc>
      </w:tr>
      <w:tr>
        <w:tc>
          <w:tcPr>
            <w:tcW w:type="dxa" w:w="2200"/>
            <w:tcMar>
              <w:top w:type="dxa" w:w="100"/>
              <w:left w:type="dxa" w:w="120"/>
              <w:bottom w:type="dxa" w:w="100"/>
              <w:right w:type="dxa" w:w="120"/>
            </w:tcMar>
          </w:tcPr>
          <w:p>
            <w:r>
              <w:rPr>
                <w:b w:val="false"/>
                <w:bCs w:val="false"/>
                <w:color w:val="000000"/>
                <w:sz w:val="20"/>
                <w:szCs w:val="20"/>
              </w:rPr>
              <w:t xml:space="preserve">1. Enterprise Intelligence</w:t>
            </w:r>
          </w:p>
        </w:tc>
        <w:tc>
          <w:tcPr>
            <w:tcW w:type="dxa" w:w="2400"/>
            <w:tcMar>
              <w:top w:type="dxa" w:w="100"/>
              <w:left w:type="dxa" w:w="120"/>
              <w:bottom w:type="dxa" w:w="100"/>
              <w:right w:type="dxa" w:w="120"/>
            </w:tcMar>
          </w:tcPr>
          <w:p>
            <w:r>
              <w:rPr>
                <w:b w:val="false"/>
                <w:bCs w:val="false"/>
                <w:color w:val="000000"/>
                <w:sz w:val="20"/>
                <w:szCs w:val="20"/>
              </w:rPr>
              <w:t xml:space="preserve">Mocked</w:t>
            </w:r>
          </w:p>
        </w:tc>
        <w:tc>
          <w:tcPr>
            <w:tcW w:type="dxa" w:w="5300"/>
            <w:tcMar>
              <w:top w:type="dxa" w:w="100"/>
              <w:left w:type="dxa" w:w="120"/>
              <w:bottom w:type="dxa" w:w="100"/>
              <w:right w:type="dxa" w:w="120"/>
            </w:tcMar>
          </w:tcPr>
          <w:p>
            <w:r>
              <w:rPr>
                <w:b w:val="false"/>
                <w:bCs w:val="false"/>
                <w:color w:val="000000"/>
                <w:sz w:val="20"/>
                <w:szCs w:val="20"/>
              </w:rPr>
              <w:t xml:space="preserve">Sample onboarding content/policies used as static input; no live integration required.</w:t>
            </w:r>
          </w:p>
        </w:tc>
      </w:tr>
      <w:tr>
        <w:tc>
          <w:tcPr>
            <w:tcW w:type="dxa" w:w="2200"/>
            <w:tcMar>
              <w:top w:type="dxa" w:w="100"/>
              <w:left w:type="dxa" w:w="120"/>
              <w:bottom w:type="dxa" w:w="100"/>
              <w:right w:type="dxa" w:w="120"/>
            </w:tcMar>
          </w:tcPr>
          <w:p>
            <w:r>
              <w:rPr>
                <w:b w:val="false"/>
                <w:bCs w:val="false"/>
                <w:color w:val="000000"/>
                <w:sz w:val="20"/>
                <w:szCs w:val="20"/>
              </w:rPr>
              <w:t xml:space="preserve">2. Reasoning Layer</w:t>
            </w:r>
          </w:p>
        </w:tc>
        <w:tc>
          <w:tcPr>
            <w:tcW w:type="dxa" w:w="2400"/>
            <w:tcMar>
              <w:top w:type="dxa" w:w="100"/>
              <w:left w:type="dxa" w:w="120"/>
              <w:bottom w:type="dxa" w:w="100"/>
              <w:right w:type="dxa" w:w="120"/>
            </w:tcMar>
          </w:tcPr>
          <w:p>
            <w:r>
              <w:rPr>
                <w:b w:val="false"/>
                <w:bCs w:val="false"/>
                <w:color w:val="000000"/>
                <w:sz w:val="20"/>
                <w:szCs w:val="20"/>
              </w:rPr>
              <w:t xml:space="preserve">Mocked / simplified</w:t>
            </w:r>
          </w:p>
        </w:tc>
        <w:tc>
          <w:tcPr>
            <w:tcW w:type="dxa" w:w="5300"/>
            <w:tcMar>
              <w:top w:type="dxa" w:w="100"/>
              <w:left w:type="dxa" w:w="120"/>
              <w:bottom w:type="dxa" w:w="100"/>
              <w:right w:type="dxa" w:w="120"/>
            </w:tcMar>
          </w:tcPr>
          <w:p>
            <w:r>
              <w:rPr>
                <w:b w:val="false"/>
                <w:bCs w:val="false"/>
                <w:color w:val="000000"/>
                <w:sz w:val="20"/>
                <w:szCs w:val="20"/>
              </w:rPr>
              <w:t xml:space="preserve">A fixed, correct answer is assumed for each demo scenario so the POC can isolate presentation. No planning/orchestration build-out needed.</w:t>
            </w:r>
          </w:p>
        </w:tc>
      </w:tr>
      <w:tr>
        <w:tc>
          <w:tcPr>
            <w:tcW w:type="dxa" w:w="2200"/>
            <w:shd w:fill="EEF1F7" w:color="auto" w:val="clear"/>
            <w:tcMar>
              <w:top w:type="dxa" w:w="100"/>
              <w:left w:type="dxa" w:w="120"/>
              <w:bottom w:type="dxa" w:w="100"/>
              <w:right w:type="dxa" w:w="120"/>
            </w:tcMar>
          </w:tcPr>
          <w:p>
            <w:r>
              <w:rPr>
                <w:b w:val="false"/>
                <w:bCs w:val="false"/>
                <w:color w:val="000000"/>
                <w:sz w:val="20"/>
                <w:szCs w:val="20"/>
              </w:rPr>
              <w:t xml:space="preserve">3. Human Collaboration Model</w:t>
            </w:r>
          </w:p>
        </w:tc>
        <w:tc>
          <w:tcPr>
            <w:tcW w:type="dxa" w:w="2400"/>
            <w:shd w:fill="EEF1F7" w:color="auto" w:val="clear"/>
            <w:tcMar>
              <w:top w:type="dxa" w:w="100"/>
              <w:left w:type="dxa" w:w="120"/>
              <w:bottom w:type="dxa" w:w="100"/>
              <w:right w:type="dxa" w:w="120"/>
            </w:tcMar>
          </w:tcPr>
          <w:p>
            <w:r>
              <w:rPr>
                <w:b w:val="false"/>
                <w:bCs w:val="false"/>
                <w:color w:val="000000"/>
                <w:sz w:val="20"/>
                <w:szCs w:val="20"/>
              </w:rPr>
              <w:t xml:space="preserve">Build (lightweight)</w:t>
            </w:r>
          </w:p>
        </w:tc>
        <w:tc>
          <w:tcPr>
            <w:tcW w:type="dxa" w:w="5300"/>
            <w:shd w:fill="EEF1F7" w:color="auto" w:val="clear"/>
            <w:tcMar>
              <w:top w:type="dxa" w:w="100"/>
              <w:left w:type="dxa" w:w="120"/>
              <w:bottom w:type="dxa" w:w="100"/>
              <w:right w:type="dxa" w:w="120"/>
            </w:tcMar>
          </w:tcPr>
          <w:p>
            <w:r>
              <w:rPr>
                <w:b w:val="false"/>
                <w:bCs w:val="false"/>
                <w:color w:val="000000"/>
                <w:sz w:val="20"/>
                <w:szCs w:val="20"/>
              </w:rPr>
              <w:t xml:space="preserve">Agent 1: observes a small set of signals (role, stated preference, past interaction choices) and produces a simple preference profile per user.</w:t>
            </w:r>
          </w:p>
        </w:tc>
      </w:tr>
      <w:tr>
        <w:tc>
          <w:tcPr>
            <w:tcW w:type="dxa" w:w="2200"/>
            <w:shd w:fill="EEF1F7" w:color="auto" w:val="clear"/>
            <w:tcMar>
              <w:top w:type="dxa" w:w="100"/>
              <w:left w:type="dxa" w:w="120"/>
              <w:bottom w:type="dxa" w:w="100"/>
              <w:right w:type="dxa" w:w="120"/>
            </w:tcMar>
          </w:tcPr>
          <w:p>
            <w:r>
              <w:rPr>
                <w:b w:val="false"/>
                <w:bCs w:val="false"/>
                <w:color w:val="000000"/>
                <w:sz w:val="20"/>
                <w:szCs w:val="20"/>
              </w:rPr>
              <w:t xml:space="preserve">4. Adaptive Presentation Layer</w:t>
            </w:r>
          </w:p>
        </w:tc>
        <w:tc>
          <w:tcPr>
            <w:tcW w:type="dxa" w:w="2400"/>
            <w:shd w:fill="EEF1F7" w:color="auto" w:val="clear"/>
            <w:tcMar>
              <w:top w:type="dxa" w:w="100"/>
              <w:left w:type="dxa" w:w="120"/>
              <w:bottom w:type="dxa" w:w="100"/>
              <w:right w:type="dxa" w:w="120"/>
            </w:tcMar>
          </w:tcPr>
          <w:p>
            <w:r>
              <w:rPr>
                <w:b w:val="false"/>
                <w:bCs w:val="false"/>
                <w:color w:val="000000"/>
                <w:sz w:val="20"/>
                <w:szCs w:val="20"/>
              </w:rPr>
              <w:t xml:space="preserve">Build (core focus)</w:t>
            </w:r>
          </w:p>
        </w:tc>
        <w:tc>
          <w:tcPr>
            <w:tcW w:type="dxa" w:w="5300"/>
            <w:shd w:fill="EEF1F7" w:color="auto" w:val="clear"/>
            <w:tcMar>
              <w:top w:type="dxa" w:w="100"/>
              <w:left w:type="dxa" w:w="120"/>
              <w:bottom w:type="dxa" w:w="100"/>
              <w:right w:type="dxa" w:w="120"/>
            </w:tcMar>
          </w:tcPr>
          <w:p>
            <w:r>
              <w:rPr>
                <w:b w:val="false"/>
                <w:bCs w:val="false"/>
                <w:color w:val="000000"/>
                <w:sz w:val="20"/>
                <w:szCs w:val="20"/>
              </w:rPr>
              <w:t xml:space="preserve">Agent 2: takes the fixed answer + the preference profile and renders it as detailed narrative, summary, checklist, or option comparison as appropriate.</w:t>
            </w:r>
          </w:p>
        </w:tc>
      </w:tr>
    </w:tbl>
    <w:p>
      <w:pPr>
        <w:spacing w:after="100" w:before="200"/>
      </w:pPr>
    </w:p>
    <w:p>
      <w:pPr>
        <w:pStyle w:val="Heading2"/>
        <w:spacing w:after="100" w:before="220"/>
      </w:pPr>
      <w:r>
        <w:rPr>
          <w:b/>
          <w:bCs/>
          <w:color w:val="2E5AAC"/>
          <w:sz w:val="22"/>
          <w:szCs w:val="22"/>
        </w:rPr>
        <w:t xml:space="preserve">Out of scope for this POC</w:t>
      </w:r>
    </w:p>
    <w:p>
      <w:pPr>
        <w:pStyle w:val="ListParagraph"/>
        <w:numPr>
          <w:ilvl w:val="0"/>
          <w:numId w:val="2"/>
        </w:numPr>
        <w:spacing w:after="60"/>
      </w:pPr>
      <w:r>
        <w:rPr>
          <w:sz w:val="21"/>
          <w:szCs w:val="21"/>
        </w:rPr>
        <w:t xml:space="preserve">Live enterprise data integration or retrieval</w:t>
      </w:r>
    </w:p>
    <w:p>
      <w:pPr>
        <w:pStyle w:val="ListParagraph"/>
        <w:numPr>
          <w:ilvl w:val="0"/>
          <w:numId w:val="2"/>
        </w:numPr>
        <w:spacing w:after="60"/>
      </w:pPr>
      <w:r>
        <w:rPr>
          <w:sz w:val="21"/>
          <w:szCs w:val="21"/>
        </w:rPr>
        <w:t xml:space="preserve">Production-grade reasoning/orchestration</w:t>
      </w:r>
    </w:p>
    <w:p>
      <w:pPr>
        <w:pStyle w:val="ListParagraph"/>
        <w:numPr>
          <w:ilvl w:val="0"/>
          <w:numId w:val="2"/>
        </w:numPr>
        <w:spacing w:after="60"/>
      </w:pPr>
      <w:r>
        <w:rPr>
          <w:sz w:val="21"/>
          <w:szCs w:val="21"/>
        </w:rPr>
        <w:t xml:space="preserve">Passive behavioral tracking (mouse/keyboard/navigation telemetry)</w:t>
      </w:r>
    </w:p>
    <w:p>
      <w:pPr>
        <w:pStyle w:val="ListParagraph"/>
        <w:numPr>
          <w:ilvl w:val="0"/>
          <w:numId w:val="2"/>
        </w:numPr>
        <w:spacing w:after="60"/>
      </w:pPr>
      <w:r>
        <w:rPr>
          <w:sz w:val="21"/>
          <w:szCs w:val="21"/>
        </w:rPr>
        <w:t xml:space="preserve">Long-term memory persistence, drift detection, or cross-agent model sync</w:t>
      </w:r>
    </w:p>
    <w:p>
      <w:pPr>
        <w:pStyle w:val="ListParagraph"/>
        <w:numPr>
          <w:ilvl w:val="0"/>
          <w:numId w:val="2"/>
        </w:numPr>
        <w:spacing w:after="60"/>
      </w:pPr>
      <w:r>
        <w:rPr>
          <w:sz w:val="21"/>
          <w:szCs w:val="21"/>
        </w:rPr>
        <w:t xml:space="preserve">Governance, privacy, and explainability controls (flagged as follow-on work, see Section 7)</w:t>
      </w:r>
    </w:p>
    <w:p>
      <w:pPr>
        <w:pStyle w:val="Heading1"/>
        <w:pBdr>
          <w:bottom w:val="single" w:color="1F2A44" w:sz="6" w:space="4"/>
        </w:pBdr>
        <w:spacing w:after="140" w:before="320"/>
      </w:pPr>
      <w:r>
        <w:rPr>
          <w:b/>
          <w:bCs/>
          <w:color w:val="1F2A44"/>
          <w:sz w:val="26"/>
          <w:szCs w:val="26"/>
        </w:rPr>
        <w:t xml:space="preserve">4. Demo Scenario: Employee Onboarding</w:t>
      </w:r>
    </w:p>
    <w:p>
      <w:pPr>
        <w:spacing w:after="140"/>
      </w:pPr>
      <w:r>
        <w:rPr>
          <w:sz w:val="21"/>
          <w:szCs w:val="21"/>
        </w:rPr>
        <w:t xml:space="preserve">Onboarding is a good fit for a fast POC: the underlying content (policies, benefits, IT setup, team intros, first-week tasks) is the same for every new hire, but people vary widely in how much detail and structure they want. That makes it a clean testbed for “same answer, different presentation.”</w:t>
      </w:r>
    </w:p>
    <w:p>
      <w:pPr>
        <w:spacing w:after="140"/>
      </w:pPr>
      <w:r>
        <w:rPr>
          <w:sz w:val="21"/>
          <w:szCs w:val="21"/>
        </w:rPr>
        <w:t xml:space="preserve">Two representative onboarding personas illustrate the target behavior: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tblHeader/>
        </w:trPr>
        <w:tc>
          <w:tcPr>
            <w:tcW w:type="dxa" w:w="3300"/>
            <w:shd w:fill="1F2A44" w:color="auto" w:val="clear"/>
            <w:tcMar>
              <w:top w:type="dxa" w:w="100"/>
              <w:left w:type="dxa" w:w="120"/>
              <w:bottom w:type="dxa" w:w="100"/>
              <w:right w:type="dxa" w:w="120"/>
            </w:tcMar>
          </w:tcPr>
          <w:p>
            <w:r>
              <w:rPr>
                <w:b/>
                <w:bCs/>
                <w:color w:val="FFFFFF"/>
                <w:sz w:val="20"/>
                <w:szCs w:val="20"/>
              </w:rPr>
              <w:t xml:space="preserve"/>
            </w:r>
          </w:p>
        </w:tc>
        <w:tc>
          <w:tcPr>
            <w:tcW w:type="dxa" w:w="3300"/>
            <w:shd w:fill="1F2A44" w:color="auto" w:val="clear"/>
            <w:tcMar>
              <w:top w:type="dxa" w:w="100"/>
              <w:left w:type="dxa" w:w="120"/>
              <w:bottom w:type="dxa" w:w="100"/>
              <w:right w:type="dxa" w:w="120"/>
            </w:tcMar>
          </w:tcPr>
          <w:p>
            <w:r>
              <w:rPr>
                <w:b/>
                <w:bCs/>
                <w:color w:val="FFFFFF"/>
                <w:sz w:val="20"/>
                <w:szCs w:val="20"/>
              </w:rPr>
              <w:t xml:space="preserve">New Hire A</w:t>
            </w:r>
          </w:p>
        </w:tc>
        <w:tc>
          <w:tcPr>
            <w:tcW w:type="dxa" w:w="3300"/>
            <w:shd w:fill="1F2A44" w:color="auto" w:val="clear"/>
            <w:tcMar>
              <w:top w:type="dxa" w:w="100"/>
              <w:left w:type="dxa" w:w="120"/>
              <w:bottom w:type="dxa" w:w="100"/>
              <w:right w:type="dxa" w:w="120"/>
            </w:tcMar>
          </w:tcPr>
          <w:p>
            <w:r>
              <w:rPr>
                <w:b/>
                <w:bCs/>
                <w:color w:val="FFFFFF"/>
                <w:sz w:val="20"/>
                <w:szCs w:val="20"/>
              </w:rPr>
              <w:t xml:space="preserve">New Hire B</w:t>
            </w:r>
          </w:p>
        </w:tc>
      </w:tr>
      <w:tr>
        <w:tc>
          <w:tcPr>
            <w:tcW w:type="dxa" w:w="3300"/>
            <w:tcMar>
              <w:top w:type="dxa" w:w="100"/>
              <w:left w:type="dxa" w:w="120"/>
              <w:bottom w:type="dxa" w:w="100"/>
              <w:right w:type="dxa" w:w="120"/>
            </w:tcMar>
          </w:tcPr>
          <w:p>
            <w:r>
              <w:rPr>
                <w:b/>
                <w:bCs/>
                <w:color w:val="000000"/>
                <w:sz w:val="20"/>
                <w:szCs w:val="20"/>
              </w:rPr>
              <w:t xml:space="preserve">Preference</w:t>
            </w:r>
          </w:p>
        </w:tc>
        <w:tc>
          <w:tcPr>
            <w:tcW w:type="dxa" w:w="3300"/>
            <w:tcMar>
              <w:top w:type="dxa" w:w="100"/>
              <w:left w:type="dxa" w:w="120"/>
              <w:bottom w:type="dxa" w:w="100"/>
              <w:right w:type="dxa" w:w="120"/>
            </w:tcMar>
          </w:tcPr>
          <w:p>
            <w:r>
              <w:rPr>
                <w:b w:val="false"/>
                <w:bCs w:val="false"/>
                <w:color w:val="000000"/>
                <w:sz w:val="20"/>
                <w:szCs w:val="20"/>
              </w:rPr>
              <w:t xml:space="preserve">Full detail, step-by-step</w:t>
            </w:r>
          </w:p>
        </w:tc>
        <w:tc>
          <w:tcPr>
            <w:tcW w:type="dxa" w:w="3300"/>
            <w:tcMar>
              <w:top w:type="dxa" w:w="100"/>
              <w:left w:type="dxa" w:w="120"/>
              <w:bottom w:type="dxa" w:w="100"/>
              <w:right w:type="dxa" w:w="120"/>
            </w:tcMar>
          </w:tcPr>
          <w:p>
            <w:r>
              <w:rPr>
                <w:b w:val="false"/>
                <w:bCs w:val="false"/>
                <w:color w:val="000000"/>
                <w:sz w:val="20"/>
                <w:szCs w:val="20"/>
              </w:rPr>
              <w:t xml:space="preserve">Top-level summary with options</w:t>
            </w:r>
          </w:p>
        </w:tc>
      </w:tr>
      <w:tr>
        <w:tc>
          <w:tcPr>
            <w:tcW w:type="dxa" w:w="3300"/>
            <w:shd w:fill="EEF1F7" w:color="auto" w:val="clear"/>
            <w:tcMar>
              <w:top w:type="dxa" w:w="100"/>
              <w:left w:type="dxa" w:w="120"/>
              <w:bottom w:type="dxa" w:w="100"/>
              <w:right w:type="dxa" w:w="120"/>
            </w:tcMar>
          </w:tcPr>
          <w:p>
            <w:r>
              <w:rPr>
                <w:b/>
                <w:bCs/>
                <w:color w:val="000000"/>
                <w:sz w:val="20"/>
                <w:szCs w:val="20"/>
              </w:rPr>
              <w:t xml:space="preserve">Day-1 view</w:t>
            </w:r>
          </w:p>
        </w:tc>
        <w:tc>
          <w:tcPr>
            <w:tcW w:type="dxa" w:w="3300"/>
            <w:shd w:fill="EEF1F7" w:color="auto" w:val="clear"/>
            <w:tcMar>
              <w:top w:type="dxa" w:w="100"/>
              <w:left w:type="dxa" w:w="120"/>
              <w:bottom w:type="dxa" w:w="100"/>
              <w:right w:type="dxa" w:w="120"/>
            </w:tcMar>
          </w:tcPr>
          <w:p>
            <w:r>
              <w:rPr>
                <w:b w:val="false"/>
                <w:bCs w:val="false"/>
                <w:color w:val="000000"/>
                <w:sz w:val="20"/>
                <w:szCs w:val="20"/>
              </w:rPr>
              <w:t xml:space="preserve">Complete checklist with explanations for each task and why it matters</w:t>
            </w:r>
          </w:p>
        </w:tc>
        <w:tc>
          <w:tcPr>
            <w:tcW w:type="dxa" w:w="3300"/>
            <w:shd w:fill="EEF1F7" w:color="auto" w:val="clear"/>
            <w:tcMar>
              <w:top w:type="dxa" w:w="100"/>
              <w:left w:type="dxa" w:w="120"/>
              <w:bottom w:type="dxa" w:w="100"/>
              <w:right w:type="dxa" w:w="120"/>
            </w:tcMar>
          </w:tcPr>
          <w:p>
            <w:r>
              <w:rPr>
                <w:b w:val="false"/>
                <w:bCs w:val="false"/>
                <w:color w:val="000000"/>
                <w:sz w:val="20"/>
                <w:szCs w:val="20"/>
              </w:rPr>
              <w:t xml:space="preserve">3–5 priority actions only, with a link to expand for the rest</w:t>
            </w:r>
          </w:p>
        </w:tc>
      </w:tr>
      <w:tr>
        <w:tc>
          <w:tcPr>
            <w:tcW w:type="dxa" w:w="3300"/>
            <w:tcMar>
              <w:top w:type="dxa" w:w="100"/>
              <w:left w:type="dxa" w:w="120"/>
              <w:bottom w:type="dxa" w:w="100"/>
              <w:right w:type="dxa" w:w="120"/>
            </w:tcMar>
          </w:tcPr>
          <w:p>
            <w:r>
              <w:rPr>
                <w:b/>
                <w:bCs/>
                <w:color w:val="000000"/>
                <w:sz w:val="20"/>
                <w:szCs w:val="20"/>
              </w:rPr>
              <w:t xml:space="preserve">Benefits enrollment</w:t>
            </w:r>
          </w:p>
        </w:tc>
        <w:tc>
          <w:tcPr>
            <w:tcW w:type="dxa" w:w="3300"/>
            <w:tcMar>
              <w:top w:type="dxa" w:w="100"/>
              <w:left w:type="dxa" w:w="120"/>
              <w:bottom w:type="dxa" w:w="100"/>
              <w:right w:type="dxa" w:w="120"/>
            </w:tcMar>
          </w:tcPr>
          <w:p>
            <w:r>
              <w:rPr>
                <w:b w:val="false"/>
                <w:bCs w:val="false"/>
                <w:color w:val="000000"/>
                <w:sz w:val="20"/>
                <w:szCs w:val="20"/>
              </w:rPr>
              <w:t xml:space="preserve">Full plan comparison, narrative explanation of trade-offs</w:t>
            </w:r>
          </w:p>
        </w:tc>
        <w:tc>
          <w:tcPr>
            <w:tcW w:type="dxa" w:w="3300"/>
            <w:tcMar>
              <w:top w:type="dxa" w:w="100"/>
              <w:left w:type="dxa" w:w="120"/>
              <w:bottom w:type="dxa" w:w="100"/>
              <w:right w:type="dxa" w:w="120"/>
            </w:tcMar>
          </w:tcPr>
          <w:p>
            <w:r>
              <w:rPr>
                <w:b w:val="false"/>
                <w:bCs w:val="false"/>
                <w:color w:val="000000"/>
                <w:sz w:val="20"/>
                <w:szCs w:val="20"/>
              </w:rPr>
              <w:t xml:space="preserve">Recommended plan based on stated profile, alternatives on demand</w:t>
            </w:r>
          </w:p>
        </w:tc>
      </w:tr>
      <w:tr>
        <w:tc>
          <w:tcPr>
            <w:tcW w:type="dxa" w:w="3300"/>
            <w:shd w:fill="EEF1F7" w:color="auto" w:val="clear"/>
            <w:tcMar>
              <w:top w:type="dxa" w:w="100"/>
              <w:left w:type="dxa" w:w="120"/>
              <w:bottom w:type="dxa" w:w="100"/>
              <w:right w:type="dxa" w:w="120"/>
            </w:tcMar>
          </w:tcPr>
          <w:p>
            <w:r>
              <w:rPr>
                <w:b/>
                <w:bCs/>
                <w:color w:val="000000"/>
                <w:sz w:val="20"/>
                <w:szCs w:val="20"/>
              </w:rPr>
              <w:t xml:space="preserve">Format</w:t>
            </w:r>
          </w:p>
        </w:tc>
        <w:tc>
          <w:tcPr>
            <w:tcW w:type="dxa" w:w="3300"/>
            <w:shd w:fill="EEF1F7" w:color="auto" w:val="clear"/>
            <w:tcMar>
              <w:top w:type="dxa" w:w="100"/>
              <w:left w:type="dxa" w:w="120"/>
              <w:bottom w:type="dxa" w:w="100"/>
              <w:right w:type="dxa" w:w="120"/>
            </w:tcMar>
          </w:tcPr>
          <w:p>
            <w:r>
              <w:rPr>
                <w:b w:val="false"/>
                <w:bCs w:val="false"/>
                <w:color w:val="000000"/>
                <w:sz w:val="20"/>
                <w:szCs w:val="20"/>
              </w:rPr>
              <w:t xml:space="preserve">Narrative + detailed table</w:t>
            </w:r>
          </w:p>
        </w:tc>
        <w:tc>
          <w:tcPr>
            <w:tcW w:type="dxa" w:w="3300"/>
            <w:shd w:fill="EEF1F7" w:color="auto" w:val="clear"/>
            <w:tcMar>
              <w:top w:type="dxa" w:w="100"/>
              <w:left w:type="dxa" w:w="120"/>
              <w:bottom w:type="dxa" w:w="100"/>
              <w:right w:type="dxa" w:w="120"/>
            </w:tcMar>
          </w:tcPr>
          <w:p>
            <w:r>
              <w:rPr>
                <w:b w:val="false"/>
                <w:bCs w:val="false"/>
                <w:color w:val="000000"/>
                <w:sz w:val="20"/>
                <w:szCs w:val="20"/>
              </w:rPr>
              <w:t xml:space="preserve">Bulleted summary + comparison card</w:t>
            </w:r>
          </w:p>
        </w:tc>
      </w:tr>
    </w:tbl>
    <w:p>
      <w:pPr>
        <w:spacing w:after="0" w:before="200"/>
      </w:pPr>
    </w:p>
    <w:p>
      <w:pPr>
        <w:pStyle w:val="Heading1"/>
        <w:pBdr>
          <w:bottom w:val="single" w:color="1F2A44" w:sz="6" w:space="4"/>
        </w:pBdr>
        <w:spacing w:after="140" w:before="320"/>
      </w:pPr>
      <w:r>
        <w:rPr>
          <w:b/>
          <w:bCs/>
          <w:color w:val="1F2A44"/>
          <w:sz w:val="26"/>
          <w:szCs w:val="26"/>
        </w:rPr>
        <w:t xml:space="preserve">5. Proposed Technical Approach</w:t>
      </w:r>
    </w:p>
    <w:p>
      <w:pPr>
        <w:spacing w:after="140"/>
      </w:pPr>
      <w:r>
        <w:rPr>
          <w:b/>
          <w:bCs/>
          <w:sz w:val="21"/>
          <w:szCs w:val="21"/>
        </w:rPr>
        <w:t xml:space="preserve">Agent 1 — Context / Collaboration Agent: </w:t>
      </w:r>
      <w:r>
        <w:rPr>
          <w:sz w:val="21"/>
          <w:szCs w:val="21"/>
        </w:rPr>
        <w:t xml:space="preserve">builds a lightweight preference profile per user from a small, explicit signal set (role/title, a short onboarding-preference prompt, and choices made earlier in the same session). No passive telemetry required for the POC.</w:t>
      </w:r>
    </w:p>
    <w:p>
      <w:pPr>
        <w:spacing w:after="140"/>
      </w:pPr>
      <w:r>
        <w:rPr>
          <w:b/>
          <w:bCs/>
          <w:sz w:val="21"/>
          <w:szCs w:val="21"/>
        </w:rPr>
        <w:t xml:space="preserve">Agent 2 — Adaptive Presentation Agent: </w:t>
      </w:r>
      <w:r>
        <w:rPr>
          <w:sz w:val="21"/>
          <w:szCs w:val="21"/>
        </w:rPr>
        <w:t xml:space="preserve">takes the fixed onboarding content plus Agent 1's profile and decides: information density (novice vs. expert), format (narrative, bullets, table, comparison), and ordering (e.g., recommendation-first vs. evidence-first).</w:t>
      </w:r>
    </w:p>
    <w:p>
      <w:pPr>
        <w:spacing w:after="140"/>
      </w:pPr>
      <w:r>
        <w:rPr>
          <w:sz w:val="21"/>
          <w:szCs w:val="21"/>
        </w:rPr>
        <w:t xml:space="preserve">Both agents sit downstream of a fixed “correct answer” for each scenario — the POC does not need to prove reasoning quality, only that presentation can adapt cleanly without altering the underlying substance.</w:t>
      </w:r>
    </w:p>
    <w:p>
      <w:pPr>
        <w:pStyle w:val="Heading1"/>
        <w:pBdr>
          <w:bottom w:val="single" w:color="1F2A44" w:sz="6" w:space="4"/>
        </w:pBdr>
        <w:spacing w:after="140" w:before="320"/>
      </w:pPr>
      <w:r>
        <w:rPr>
          <w:b/>
          <w:bCs/>
          <w:color w:val="1F2A44"/>
          <w:sz w:val="26"/>
          <w:szCs w:val="26"/>
        </w:rPr>
        <w:t xml:space="preserve">6. Success Criteria</w:t>
      </w:r>
    </w:p>
    <w:p>
      <w:pPr>
        <w:pStyle w:val="ListParagraph"/>
        <w:numPr>
          <w:ilvl w:val="0"/>
          <w:numId w:val="2"/>
        </w:numPr>
        <w:spacing w:after="60"/>
      </w:pPr>
      <w:r>
        <w:rPr>
          <w:sz w:val="21"/>
          <w:szCs w:val="21"/>
        </w:rPr>
        <w:t xml:space="preserve">Same underlying onboarding content is rendered in at least two distinct, coherent presentation styles based on a different user profile</w:t>
      </w:r>
    </w:p>
    <w:p>
      <w:pPr>
        <w:pStyle w:val="ListParagraph"/>
        <w:numPr>
          <w:ilvl w:val="0"/>
          <w:numId w:val="2"/>
        </w:numPr>
        <w:spacing w:after="60"/>
      </w:pPr>
      <w:r>
        <w:rPr>
          <w:sz w:val="21"/>
          <w:szCs w:val="21"/>
        </w:rPr>
        <w:t xml:space="preserve">The two agents (context + presentation) function as separable components, not a single hard-coded branch</w:t>
      </w:r>
    </w:p>
    <w:p>
      <w:pPr>
        <w:pStyle w:val="ListParagraph"/>
        <w:numPr>
          <w:ilvl w:val="0"/>
          <w:numId w:val="2"/>
        </w:numPr>
        <w:spacing w:after="60"/>
      </w:pPr>
      <w:r>
        <w:rPr>
          <w:sz w:val="21"/>
          <w:szCs w:val="21"/>
        </w:rPr>
        <w:t xml:space="preserve">A live or recorded walkthrough can show the shift side-by-side to a non-technical audience</w:t>
      </w:r>
    </w:p>
    <w:p>
      <w:pPr>
        <w:pStyle w:val="ListParagraph"/>
        <w:numPr>
          <w:ilvl w:val="0"/>
          <w:numId w:val="2"/>
        </w:numPr>
        <w:spacing w:after="60"/>
      </w:pPr>
      <w:r>
        <w:rPr>
          <w:sz w:val="21"/>
          <w:szCs w:val="21"/>
        </w:rPr>
        <w:t xml:space="preserve">Jason and the assigned engineer(s) confirm the approach is technically sound and identify any blockers before further investment</w:t>
      </w:r>
    </w:p>
    <w:p>
      <w:pPr>
        <w:pStyle w:val="Heading1"/>
        <w:pBdr>
          <w:bottom w:val="single" w:color="1F2A44" w:sz="6" w:space="4"/>
        </w:pBdr>
        <w:spacing w:after="140" w:before="320"/>
      </w:pPr>
      <w:r>
        <w:rPr>
          <w:b/>
          <w:bCs/>
          <w:color w:val="1F2A44"/>
          <w:sz w:val="26"/>
          <w:szCs w:val="26"/>
        </w:rPr>
        <w:t xml:space="preserve">7. Open Technical Questions</w:t>
      </w:r>
    </w:p>
    <w:p>
      <w:pPr>
        <w:spacing w:after="140"/>
      </w:pPr>
      <w:r>
        <w:rPr>
          <w:sz w:val="21"/>
          <w:szCs w:val="21"/>
        </w:rPr>
        <w:t xml:space="preserve">Carried over from the original concept — not expected to be resolved in the POC, but worth flagging to the engineering team up front:</w:t>
      </w:r>
    </w:p>
    <w:p>
      <w:pPr>
        <w:pStyle w:val="ListParagraph"/>
        <w:numPr>
          <w:ilvl w:val="0"/>
          <w:numId w:val="2"/>
        </w:numPr>
        <w:spacing w:after="60"/>
      </w:pPr>
      <w:r>
        <w:rPr>
          <w:sz w:val="21"/>
          <w:szCs w:val="21"/>
        </w:rPr>
        <w:t xml:space="preserve">Is the collaboration model best implemented as memory, a service, or a dedicated agent?</w:t>
      </w:r>
    </w:p>
    <w:p>
      <w:pPr>
        <w:pStyle w:val="ListParagraph"/>
        <w:numPr>
          <w:ilvl w:val="0"/>
          <w:numId w:val="2"/>
        </w:numPr>
        <w:spacing w:after="60"/>
      </w:pPr>
      <w:r>
        <w:rPr>
          <w:sz w:val="21"/>
          <w:szCs w:val="21"/>
        </w:rPr>
        <w:t xml:space="preserve">What data structure best represents an evolving preference/working-pattern profile?</w:t>
      </w:r>
    </w:p>
    <w:p>
      <w:pPr>
        <w:pStyle w:val="ListParagraph"/>
        <w:numPr>
          <w:ilvl w:val="0"/>
          <w:numId w:val="2"/>
        </w:numPr>
        <w:spacing w:after="60"/>
      </w:pPr>
      <w:r>
        <w:rPr>
          <w:sz w:val="21"/>
          <w:szCs w:val="21"/>
        </w:rPr>
        <w:t xml:space="preserve">How should short-term session context be separated from any longer-term behavioral model?</w:t>
      </w:r>
    </w:p>
    <w:p>
      <w:pPr>
        <w:pStyle w:val="ListParagraph"/>
        <w:numPr>
          <w:ilvl w:val="0"/>
          <w:numId w:val="2"/>
        </w:numPr>
        <w:spacing w:after="60"/>
      </w:pPr>
      <w:r>
        <w:rPr>
          <w:sz w:val="21"/>
          <w:szCs w:val="21"/>
        </w:rPr>
        <w:t xml:space="preserve">How should adaptive presentation stay predictable rather than feel inconsistent to the user?</w:t>
      </w:r>
    </w:p>
    <w:p>
      <w:pPr>
        <w:pStyle w:val="ListParagraph"/>
        <w:numPr>
          <w:ilvl w:val="0"/>
          <w:numId w:val="2"/>
        </w:numPr>
        <w:spacing w:after="60"/>
      </w:pPr>
      <w:r>
        <w:rPr>
          <w:sz w:val="21"/>
          <w:szCs w:val="21"/>
        </w:rPr>
        <w:t xml:space="preserve">(Longer-term, beyond POC) How should privacy, governance, and explainability be handled once real behavioral signals are used?</w:t>
      </w:r>
    </w:p>
    <w:p>
      <w:pPr>
        <w:pStyle w:val="Heading1"/>
        <w:pBdr>
          <w:bottom w:val="single" w:color="1F2A44" w:sz="6" w:space="4"/>
        </w:pBdr>
        <w:spacing w:after="140" w:before="320"/>
      </w:pPr>
      <w:r>
        <w:rPr>
          <w:b/>
          <w:bCs/>
          <w:color w:val="1F2A44"/>
          <w:sz w:val="26"/>
          <w:szCs w:val="26"/>
        </w:rPr>
        <w:t xml:space="preserve">8. Ask / Next Steps</w:t>
      </w:r>
    </w:p>
    <w:p>
      <w:pPr>
        <w:pStyle w:val="ListParagraph"/>
        <w:numPr>
          <w:ilvl w:val="0"/>
          <w:numId w:val="2"/>
        </w:numPr>
        <w:spacing w:after="60"/>
      </w:pPr>
      <w:r>
        <w:rPr>
          <w:sz w:val="21"/>
          <w:szCs w:val="21"/>
        </w:rPr>
        <w:t xml:space="preserve">Route this brief to Jason for a technical feasibility read — particularly on Agent 1/Agent 2 separation and whether a bench team can prototype the presentation layer quickly.</w:t>
      </w:r>
    </w:p>
    <w:p>
      <w:pPr>
        <w:pStyle w:val="ListParagraph"/>
        <w:numPr>
          <w:ilvl w:val="0"/>
          <w:numId w:val="2"/>
        </w:numPr>
        <w:spacing w:after="60"/>
      </w:pPr>
      <w:r>
        <w:rPr>
          <w:sz w:val="21"/>
          <w:szCs w:val="21"/>
        </w:rPr>
        <w:t xml:space="preserve">If feasible, identify 1–2 bench engineers and a short build window to produce a working demo (presentation layer only, per Section 3).</w:t>
      </w:r>
    </w:p>
    <w:p>
      <w:pPr>
        <w:pStyle w:val="ListParagraph"/>
        <w:numPr>
          <w:ilvl w:val="0"/>
          <w:numId w:val="2"/>
        </w:numPr>
        <w:spacing w:after="60"/>
      </w:pPr>
      <w:r>
        <w:rPr>
          <w:sz w:val="21"/>
          <w:szCs w:val="21"/>
        </w:rPr>
        <w:t xml:space="preserve">Confirm employee onboarding as the demo narrative, or swap in an alternate scenario (e.g., retail e-commerce recommendations) if it's a better fit for the audience this will be shown to.</w:t>
      </w:r>
    </w:p>
    <w:p>
      <w:pPr>
        <w:pStyle w:val="ListParagraph"/>
        <w:numPr>
          <w:ilvl w:val="0"/>
          <w:numId w:val="2"/>
        </w:numPr>
        <w:spacing w:after="60"/>
      </w:pPr>
      <w:r>
        <w:rPr>
          <w:sz w:val="21"/>
          <w:szCs w:val="21"/>
        </w:rPr>
        <w:t xml:space="preserve">Reconvene after the feasibility read to scope a timeline and any resourcing needed.</w:t>
      </w:r>
    </w:p>
    <w:p>
      <w:pPr>
        <w:pStyle w:val="Heading1"/>
        <w:pBdr>
          <w:bottom w:val="single" w:color="1F2A44" w:sz="6" w:space="4"/>
        </w:pBdr>
        <w:spacing w:after="140" w:before="320"/>
      </w:pPr>
      <w:r>
        <w:rPr>
          <w:b/>
          <w:bCs/>
          <w:color w:val="1F2A44"/>
          <w:sz w:val="26"/>
          <w:szCs w:val="26"/>
        </w:rPr>
        <w:t xml:space="preserve">9. Assumptions</w:t>
      </w:r>
    </w:p>
    <w:p>
      <w:pPr>
        <w:pStyle w:val="ListParagraph"/>
        <w:numPr>
          <w:ilvl w:val="0"/>
          <w:numId w:val="2"/>
        </w:numPr>
        <w:spacing w:after="60"/>
      </w:pPr>
      <w:r>
        <w:rPr>
          <w:sz w:val="21"/>
          <w:szCs w:val="21"/>
        </w:rPr>
        <w:t xml:space="preserve">No production data or live systems are required — sample/mocked content is sufficient to prove the concept.</w:t>
      </w:r>
    </w:p>
    <w:p>
      <w:pPr>
        <w:pStyle w:val="ListParagraph"/>
        <w:numPr>
          <w:ilvl w:val="0"/>
          <w:numId w:val="2"/>
        </w:numPr>
        <w:spacing w:after="60"/>
      </w:pPr>
      <w:r>
        <w:rPr>
          <w:sz w:val="21"/>
          <w:szCs w:val="21"/>
        </w:rPr>
        <w:t xml:space="preserve">Timeline, budget, and staffing are not yet defined and depend on Jason's feasibility read and bench availability.</w:t>
      </w:r>
    </w:p>
    <w:p>
      <w:pPr>
        <w:pStyle w:val="ListParagraph"/>
        <w:numPr>
          <w:ilvl w:val="0"/>
          <w:numId w:val="2"/>
        </w:numPr>
        <w:spacing w:after="60"/>
      </w:pPr>
      <w:r>
        <w:rPr>
          <w:sz w:val="21"/>
          <w:szCs w:val="21"/>
        </w:rPr>
        <w:t xml:space="preserve">This brief covers the POC only; a follow-on brief would be needed to scope productionization (full 4-layer build, governance, live data).</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2026-07-17T15:17:41.180Z</dcterms:created>
  <dcterms:modified xsi:type="dcterms:W3CDTF">2026-07-17T15:17:41.180Z</dcterms:modified>
</cp:coreProperties>
</file>

<file path=docProps/custom.xml><?xml version="1.0" encoding="utf-8"?>
<Properties xmlns="http://schemas.openxmlformats.org/officeDocument/2006/custom-properties" xmlns:vt="http://schemas.openxmlformats.org/officeDocument/2006/docPropsVTypes"/>
</file>