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80" w:rightFromText="180" w:vertAnchor="page" w:horzAnchor="margin" w:tblpXSpec="center" w:tblpY="391"/>
        <w:tblW w:w="11477" w:type="dxa"/>
        <w:tblLook w:val="04A0" w:firstRow="1" w:lastRow="0" w:firstColumn="1" w:lastColumn="0" w:noHBand="0" w:noVBand="1"/>
      </w:tblPr>
      <w:tblGrid>
        <w:gridCol w:w="562"/>
        <w:gridCol w:w="3261"/>
        <w:gridCol w:w="3685"/>
        <w:gridCol w:w="3969"/>
      </w:tblGrid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Reinforcement learning (RL)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riːɪnˈfɔːrsmənt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Обучение с подкреплением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Deep learning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diːp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Глубокое обучение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Convolutional neural network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kɑːnvəˈluːʃ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io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al]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nʊrəl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netwɜːrk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Свёрточная нейронная сеть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Q-learning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FFFFF"/>
              </w:rPr>
              <w:t>[kju:]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 xml:space="preserve">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Q-</w:t>
            </w:r>
            <w:r w:rsidRPr="00C30F88">
              <w:rPr>
                <w:rFonts w:cstheme="minorHAnsi"/>
                <w:sz w:val="24"/>
                <w:szCs w:val="24"/>
              </w:rPr>
              <w:t>обучение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Raw pixels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rɔː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pɪksəlz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Необработанные пиксели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Value function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væljuː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fʌŋkʃn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Функция оценки состояние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fiːtʃər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Характеристика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Computer vision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kəmˈpjuːtər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vɪʒn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Компьютерное зрение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Speech recognition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spiːtʃ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rekəɡˈnɪʃn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Распознавание речи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Neural network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nʊrəl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netwɜːrk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 xml:space="preserve"> 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ɑːrkɪtektʃər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Нейронная сеть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Multilayer perceptron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mʌltileɪə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pərˈseptrɑːn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Многослойный перцептр</w:t>
            </w:r>
            <w:bookmarkStart w:id="0" w:name="_GoBack"/>
            <w:bookmarkEnd w:id="0"/>
            <w:r w:rsidRPr="00C30F88">
              <w:rPr>
                <w:rFonts w:cstheme="minorHAnsi"/>
                <w:sz w:val="24"/>
                <w:szCs w:val="24"/>
              </w:rPr>
              <w:t>он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Recurrent neural network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rɪˈkɜːrənt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nʊrəl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netwɜːrk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Рекуррентная нейронная сеть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Supervised learning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suːpərˌvaɪzd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Обучение с учителем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Unsupervised learning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ʌŋsuːpərˌvaɪzd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Обучение без учителя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261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</w:rPr>
              <w:t>Stochastic gradient descent</w:t>
            </w:r>
          </w:p>
        </w:tc>
        <w:tc>
          <w:tcPr>
            <w:tcW w:w="3685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highlight w:val="white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stəˈkastik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ɡreɪdiənt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dɪˈsent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Стохастический градиентный спуск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nil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Rectifier nonlinearity unit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[rektəˌfaɪər] [nonlɪniərity] [juːnɪt]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Активационная функция выпремления нелинейности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nil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Hidden layer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[hidn] [ler]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Скрытый слой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nil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Fully-connected layer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[fʊli-kəˈnektɪd] [ler]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Полносвязный слой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nil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Deep Q-network (DQN)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diːp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 xml:space="preserve">] </w:t>
            </w:r>
            <w:r w:rsidRPr="00C30F88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[kju:]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-[netwɜːrk]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Глубокая Q-сеть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nil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Bellman equation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[belmən] [ɪˈkweɪʒn]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Равентсво Беллмана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6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məˈʃiːn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 xml:space="preserve"> 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Машинное обучение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Experience replay mechanism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ɪkˈspɪriəns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riːpleɪ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mekənɪzəm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Механизм воспроизведения опыта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Atari games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[Atari]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ɡeɪmz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Игры Атари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Arcade Learning Environment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ɑːrˈkeɪd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lɜːrnɪŋ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ɪnˈvaɪrənmənt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Аркадная среда для обучения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Hand-designed features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hænd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]-[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dəˈzaɪnd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fiːtʃərz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Характеристики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C30F88">
              <w:rPr>
                <w:rFonts w:cstheme="minorHAnsi"/>
                <w:sz w:val="24"/>
                <w:szCs w:val="24"/>
              </w:rPr>
              <w:t>сделанные вручную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Hyperparameter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FFFFF"/>
              </w:rPr>
              <w:t>haɪpəpəræmɪtə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Гиперпараметр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Markov decision process (MDP)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[Markov]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dɪˈsɪʒn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prɑːses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Марковский процесс принятия решений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Temporal Difference</w:t>
            </w:r>
            <w:r w:rsidRPr="00C30F88">
              <w:rPr>
                <w:rFonts w:cstheme="minorHAnsi"/>
                <w:sz w:val="24"/>
                <w:szCs w:val="24"/>
              </w:rPr>
              <w:t xml:space="preserve"> (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TD</w:t>
            </w:r>
            <w:r w:rsidRPr="00C30F88">
              <w:rPr>
                <w:rFonts w:cstheme="minorHAnsi"/>
                <w:sz w:val="24"/>
                <w:szCs w:val="24"/>
              </w:rPr>
              <w:t>)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 xml:space="preserve"> algorithm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tempərəl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dɪfrəns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ælɡərɪðəm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Алгоритм временных ошибок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Object detector algorithm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ɑːbdʒekt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dɪˈtektər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ælɡərɪðəm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Алгоритм обнаружения объекта</w:t>
            </w:r>
          </w:p>
        </w:tc>
      </w:tr>
      <w:tr w:rsidR="00C30F88" w:rsidTr="00C30F88">
        <w:trPr>
          <w:trHeight w:val="283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Control policy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30F88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kənˈtroʊl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C30F88">
              <w:rPr>
                <w:rFonts w:cstheme="minorHAnsi"/>
                <w:sz w:val="24"/>
                <w:szCs w:val="24"/>
                <w:shd w:val="clear" w:color="auto" w:fill="FCFCFC"/>
              </w:rPr>
              <w:t>pɑːləsi</w:t>
            </w:r>
            <w:r w:rsidRPr="00C30F88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30F88" w:rsidRPr="00C30F88" w:rsidRDefault="00C30F88" w:rsidP="00C30F88">
            <w:pPr>
              <w:pStyle w:val="a3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30F88">
              <w:rPr>
                <w:rFonts w:cstheme="minorHAnsi"/>
                <w:sz w:val="24"/>
                <w:szCs w:val="24"/>
              </w:rPr>
              <w:t>Политика контроля</w:t>
            </w:r>
          </w:p>
        </w:tc>
      </w:tr>
    </w:tbl>
    <w:p w:rsidR="00A70699" w:rsidRDefault="00A70699" w:rsidP="00C30F88">
      <w:pPr>
        <w:pStyle w:val="a3"/>
        <w:spacing w:line="240" w:lineRule="auto"/>
        <w:rPr>
          <w:rFonts w:ascii="Calibri" w:hAnsi="Calibri"/>
          <w:color w:val="000000"/>
        </w:rPr>
      </w:pPr>
    </w:p>
    <w:sectPr w:rsidR="00A70699" w:rsidSect="00C30F8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9"/>
    <w:rsid w:val="006803F2"/>
    <w:rsid w:val="00A075E0"/>
    <w:rsid w:val="00A70699"/>
    <w:rsid w:val="00C30F88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4FE6"/>
  <w15:docId w15:val="{DB93735F-696B-4C9C-BCFC-B0E7A03F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F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dc:description/>
  <cp:lastModifiedBy>Evgenii</cp:lastModifiedBy>
  <cp:revision>5</cp:revision>
  <dcterms:created xsi:type="dcterms:W3CDTF">2019-10-29T19:05:00Z</dcterms:created>
  <dcterms:modified xsi:type="dcterms:W3CDTF">2019-11-06T13:59:00Z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