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Text"/>
      </w:pPr>
      <w:r>
        <w:rPr>
          <w:rFonts w:ascii="Calibri" w:hAnsi="Calibri"/>
          <w:b/>
          <w:color w:val="7A5A00"/>
          <w:sz w:val="19"/>
        </w:rPr>
        <w:t>TECHNICAL ARCHITECTURE HANDOFF</w:t>
      </w:r>
    </w:p>
    <w:p>
      <w:pPr>
        <w:pStyle w:val="Title"/>
      </w:pPr>
      <w:r>
        <w:rPr>
          <w:rFonts w:ascii="Calibri" w:hAnsi="Calibri"/>
          <w:b/>
          <w:color w:val="0B2545"/>
          <w:sz w:val="50"/>
        </w:rPr>
        <w:t>Sonder Runtime</w:t>
      </w:r>
    </w:p>
    <w:p>
      <w:pPr>
        <w:pStyle w:val="Subtitle"/>
      </w:pPr>
      <w:r>
        <w:rPr>
          <w:rFonts w:ascii="Calibri" w:hAnsi="Calibri"/>
          <w:color w:val="5B6573"/>
          <w:sz w:val="28"/>
        </w:rPr>
        <w:t>Architecture, harness model, and improvement roadmap</w:t>
      </w:r>
    </w:p>
    <w:p>
      <w:pPr>
        <w:spacing w:after="40"/>
      </w:pPr>
      <w:r>
        <w:rPr>
          <w:rFonts w:ascii="Calibri" w:hAnsi="Calibri"/>
          <w:b/>
          <w:color w:val="0B2545"/>
          <w:sz w:val="21"/>
        </w:rPr>
        <w:t xml:space="preserve">Prepared for: </w:t>
      </w:r>
      <w:r>
        <w:rPr>
          <w:rFonts w:ascii="Calibri" w:hAnsi="Calibri"/>
          <w:color w:val="1B2633"/>
          <w:sz w:val="21"/>
        </w:rPr>
        <w:t>Claude review and continuation</w:t>
      </w:r>
    </w:p>
    <w:p>
      <w:pPr>
        <w:spacing w:after="40"/>
      </w:pPr>
      <w:r>
        <w:rPr>
          <w:rFonts w:ascii="Calibri" w:hAnsi="Calibri"/>
          <w:b/>
          <w:color w:val="0B2545"/>
          <w:sz w:val="21"/>
        </w:rPr>
        <w:t xml:space="preserve">Prepared by: </w:t>
      </w:r>
      <w:r>
        <w:rPr>
          <w:rFonts w:ascii="Calibri" w:hAnsi="Calibri"/>
          <w:color w:val="1B2633"/>
          <w:sz w:val="21"/>
        </w:rPr>
        <w:t>Nathan, with prior Codex analysis</w:t>
      </w:r>
    </w:p>
    <w:p>
      <w:pPr>
        <w:spacing w:after="40"/>
      </w:pPr>
      <w:r>
        <w:rPr>
          <w:rFonts w:ascii="Calibri" w:hAnsi="Calibri"/>
          <w:b/>
          <w:color w:val="0B2545"/>
          <w:sz w:val="21"/>
        </w:rPr>
        <w:t xml:space="preserve">Repository: </w:t>
      </w:r>
      <w:r>
        <w:rPr>
          <w:rFonts w:ascii="Calibri" w:hAnsi="Calibri"/>
          <w:color w:val="1B2633"/>
          <w:sz w:val="21"/>
        </w:rPr>
        <w:t>Krilliac/Sonder-runtime</w:t>
      </w:r>
    </w:p>
    <w:p>
      <w:pPr>
        <w:spacing w:after="40"/>
      </w:pPr>
      <w:r>
        <w:rPr>
          <w:rFonts w:ascii="Calibri" w:hAnsi="Calibri"/>
          <w:b/>
          <w:color w:val="0B2545"/>
          <w:sz w:val="21"/>
        </w:rPr>
        <w:t xml:space="preserve">Snapshot: </w:t>
      </w:r>
      <w:r>
        <w:rPr>
          <w:rFonts w:ascii="Calibri" w:hAnsi="Calibri"/>
          <w:color w:val="1B2633"/>
          <w:sz w:val="21"/>
        </w:rPr>
        <w:t>Detailed local audit: September 1, 2026; verify main before acting</w:t>
      </w:r>
    </w:p>
    <w:p>
      <w:pPr>
        <w:spacing w:after="40"/>
      </w:pPr>
      <w:r>
        <w:rPr>
          <w:rFonts w:ascii="Calibri" w:hAnsi="Calibri"/>
          <w:b/>
          <w:color w:val="0B2545"/>
          <w:sz w:val="21"/>
        </w:rPr>
        <w:t xml:space="preserve">Purpose: </w:t>
      </w:r>
      <w:r>
        <w:rPr>
          <w:rFonts w:ascii="Calibri" w:hAnsi="Calibri"/>
          <w:color w:val="1B2633"/>
          <w:sz w:val="21"/>
        </w:rPr>
        <w:t>A complete context handoff and recommended engineering direction</w:t>
      </w:r>
    </w:p>
    <w:p>
      <w:pPr>
        <w:spacing w:after="80"/>
      </w:pPr>
    </w:p>
    <w:p>
      <w:pPr>
        <w:pStyle w:val="CalloutText"/>
        <w:spacing w:before="80" w:after="0"/>
        <w:ind w:left="173" w:right="173"/>
        <w:shd w:fill="E8EEF5" w:val="clear"/>
        <w:pBdr>
          <w:left w:val="single" w:sz="18" w:space="6" w:color="2E74B5"/>
        </w:pBdr>
      </w:pPr>
      <w:r>
        <w:rPr>
          <w:rFonts w:ascii="Calibri" w:hAnsi="Calibri"/>
          <w:b/>
          <w:color w:val="0B2545"/>
          <w:sz w:val="21"/>
        </w:rPr>
        <w:t xml:space="preserve">RECOMMENDATION  </w:t>
      </w:r>
      <w:r>
        <w:rPr>
          <w:rFonts w:ascii="Calibri" w:hAnsi="Calibri"/>
          <w:color w:val="1B2633"/>
          <w:sz w:val="21"/>
        </w:rPr>
        <w:t>Stop expanding horizontally for now. Make one safe, measurable, authoritative runtime spine; wire the sophisticated pieces that already exist; then delete the duplicate paths they replace.</w:t>
      </w:r>
    </w:p>
    <w:p>
      <w:pPr>
        <w:pStyle w:val="Heading1"/>
      </w:pPr>
      <w:r>
        <w:t>1. Executive summary</w:t>
      </w:r>
    </w:p>
    <w:p>
      <w:pPr/>
      <w:r>
        <w:rPr>
          <w:rFonts w:ascii="Calibri" w:hAnsi="Calibri"/>
          <w:color w:val="1B2633"/>
          <w:sz w:val="22"/>
        </w:rPr>
        <w:t>Sonder is not merely a model wrapper, MCP server, RAG database, or collection of agents. It is a private-first AI runtime and control plane around external inference. Ollama manages model storage and token generation; Sonder manages the behavior around the model: routing, context, memory, tools, permissions, workflows, evidence, and optional adaptation.</w:t>
      </w:r>
    </w:p>
    <w:p>
      <w:pPr/>
      <w:r>
        <w:rPr>
          <w:rFonts w:ascii="Calibri" w:hAnsi="Calibri"/>
          <w:color w:val="1B2633"/>
          <w:sz w:val="22"/>
        </w:rPr>
        <w:t>The core design is unusually strong in its treatment of uncertainty and provenance. Sonder distinguishes a failed verifier from an unavailable verifier, separates caller-judged evidence from self-graded evidence, and avoids silently replaying side effects after a crash. The main risk is not missing features. It is that the newer typed architecture and the older operational runtime remain partially overlapping, leaving multiple places that can own the same behavior.</w:t>
      </w:r>
    </w:p>
    <w:p>
      <w:pPr/>
      <w:r>
        <w:rPr>
          <w:rFonts w:ascii="Calibri" w:hAnsi="Calibri"/>
          <w:color w:val="1B2633"/>
          <w:sz w:val="22"/>
        </w:rPr>
        <w:t>The recommended path is an evidence-first strangler migration: first make unattended authority fail closed and establish a golden evaluation/replay lane; then migrate one complete tool family, one conversation-turn path, and one agent path through the typed runtime. Every migration should preserve black-box behavior, become authoritative, and remove the old implementation.</w:t>
      </w:r>
    </w:p>
    <w:tbl>
      <w:tblPr>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pStyle w:val="TableText"/>
              <w:spacing w:after="0"/>
            </w:pPr>
            <w:r>
              <w:rPr>
                <w:rFonts w:ascii="Calibri" w:hAnsi="Calibri"/>
                <w:b/>
                <w:color w:val="0B2545"/>
                <w:sz w:val="18"/>
              </w:rPr>
              <w:t>Question</w:t>
            </w:r>
          </w:p>
        </w:tc>
        <w:tc>
          <w:tcPr>
            <w:tcW w:type="dxa" w:w="7160"/>
            <w:tcMar>
              <w:top w:w="80" w:type="dxa"/>
              <w:start w:w="120" w:type="dxa"/>
              <w:bottom w:w="80" w:type="dxa"/>
              <w:end w:w="120" w:type="dxa"/>
            </w:tcMar>
            <w:vAlign w:val="center"/>
            <w:shd w:fill="F2F4F7" w:val="clear"/>
          </w:tcPr>
          <w:p>
            <w:pPr>
              <w:pStyle w:val="TableText"/>
              <w:spacing w:after="0"/>
            </w:pPr>
            <w:r>
              <w:rPr>
                <w:rFonts w:ascii="Calibri" w:hAnsi="Calibri"/>
                <w:b/>
                <w:color w:val="0B2545"/>
                <w:sz w:val="18"/>
              </w:rPr>
              <w:t>Answer</w:t>
            </w:r>
          </w:p>
        </w:tc>
      </w:tr>
      <w:tr>
        <w:tc>
          <w:tcPr>
            <w:tcW w:type="dxa" w:w="2200"/>
            <w:shd w:fill="FFFFFF" w:val="clear"/>
          </w:tcPr>
          <w:p>
            <w:pPr>
              <w:pStyle w:val="TableText"/>
              <w:spacing w:after="0" w:line="252" w:lineRule="auto"/>
            </w:pPr>
            <w:r>
              <w:rPr>
                <w:rFonts w:ascii="Calibri" w:hAnsi="Calibri"/>
                <w:color w:val="1B2633"/>
                <w:sz w:val="18"/>
              </w:rPr>
              <w:t>What is Sonder?</w:t>
            </w:r>
          </w:p>
        </w:tc>
        <w:tc>
          <w:tcPr>
            <w:tcW w:type="dxa" w:w="7160"/>
            <w:shd w:fill="FFFFFF" w:val="clear"/>
          </w:tcPr>
          <w:p>
            <w:pPr>
              <w:pStyle w:val="TableText"/>
              <w:spacing w:after="0" w:line="252" w:lineRule="auto"/>
            </w:pPr>
            <w:r>
              <w:rPr>
                <w:rFonts w:ascii="Calibri" w:hAnsi="Calibri"/>
                <w:color w:val="1B2633"/>
                <w:sz w:val="18"/>
              </w:rPr>
              <w:t>A private-first local AI runtime/control plane with an integrated agent harness.</w:t>
            </w:r>
          </w:p>
        </w:tc>
      </w:tr>
      <w:tr>
        <w:tc>
          <w:tcPr>
            <w:tcW w:type="dxa" w:w="2200"/>
            <w:shd w:fill="FFFFFF" w:val="clear"/>
          </w:tcPr>
          <w:p>
            <w:pPr>
              <w:pStyle w:val="TableText"/>
              <w:spacing w:after="0" w:line="252" w:lineRule="auto"/>
            </w:pPr>
            <w:r>
              <w:rPr>
                <w:rFonts w:ascii="Calibri" w:hAnsi="Calibri"/>
                <w:color w:val="1B2633"/>
                <w:sz w:val="18"/>
              </w:rPr>
              <w:t>What is Ollama?</w:t>
            </w:r>
          </w:p>
        </w:tc>
        <w:tc>
          <w:tcPr>
            <w:tcW w:type="dxa" w:w="7160"/>
            <w:shd w:fill="FFFFFF" w:val="clear"/>
          </w:tcPr>
          <w:p>
            <w:pPr>
              <w:pStyle w:val="TableText"/>
              <w:spacing w:after="0" w:line="252" w:lineRule="auto"/>
            </w:pPr>
            <w:r>
              <w:rPr>
                <w:rFonts w:ascii="Calibri" w:hAnsi="Calibri"/>
                <w:color w:val="1B2633"/>
                <w:sz w:val="18"/>
              </w:rPr>
              <w:t>The external model server responsible for model manifests, weights, residency, and inference.</w:t>
            </w:r>
          </w:p>
        </w:tc>
      </w:tr>
      <w:tr>
        <w:tc>
          <w:tcPr>
            <w:tcW w:type="dxa" w:w="2200"/>
            <w:shd w:fill="FFFFFF" w:val="clear"/>
          </w:tcPr>
          <w:p>
            <w:pPr>
              <w:pStyle w:val="TableText"/>
              <w:spacing w:after="0" w:line="252" w:lineRule="auto"/>
            </w:pPr>
            <w:r>
              <w:rPr>
                <w:rFonts w:ascii="Calibri" w:hAnsi="Calibri"/>
                <w:color w:val="1B2633"/>
                <w:sz w:val="18"/>
              </w:rPr>
              <w:t>What is the harness?</w:t>
            </w:r>
          </w:p>
        </w:tc>
        <w:tc>
          <w:tcPr>
            <w:tcW w:type="dxa" w:w="7160"/>
            <w:shd w:fill="FFFFFF" w:val="clear"/>
          </w:tcPr>
          <w:p>
            <w:pPr>
              <w:pStyle w:val="TableText"/>
              <w:spacing w:after="0" w:line="252" w:lineRule="auto"/>
            </w:pPr>
            <w:r>
              <w:rPr>
                <w:rFonts w:ascii="Calibri" w:hAnsi="Calibri"/>
                <w:color w:val="1B2633"/>
                <w:sz w:val="18"/>
              </w:rPr>
              <w:t>The loop that builds context, asks the model, authorizes tools, observes effects, and decides whether to continue.</w:t>
            </w:r>
          </w:p>
        </w:tc>
      </w:tr>
      <w:tr>
        <w:tc>
          <w:tcPr>
            <w:tcW w:type="dxa" w:w="2200"/>
            <w:shd w:fill="FFFFFF" w:val="clear"/>
          </w:tcPr>
          <w:p>
            <w:pPr>
              <w:pStyle w:val="TableText"/>
              <w:spacing w:after="0" w:line="252" w:lineRule="auto"/>
            </w:pPr>
            <w:r>
              <w:rPr>
                <w:rFonts w:ascii="Calibri" w:hAnsi="Calibri"/>
                <w:color w:val="1B2633"/>
                <w:sz w:val="18"/>
              </w:rPr>
              <w:t>What is Sonder's differentiator?</w:t>
            </w:r>
          </w:p>
        </w:tc>
        <w:tc>
          <w:tcPr>
            <w:tcW w:type="dxa" w:w="7160"/>
            <w:shd w:fill="FFFFFF" w:val="clear"/>
          </w:tcPr>
          <w:p>
            <w:pPr>
              <w:pStyle w:val="TableText"/>
              <w:spacing w:after="0" w:line="252" w:lineRule="auto"/>
            </w:pPr>
            <w:r>
              <w:rPr>
                <w:rFonts w:ascii="Calibri" w:hAnsi="Calibri"/>
                <w:color w:val="1B2633"/>
                <w:sz w:val="18"/>
              </w:rPr>
              <w:t>Grounded execution evidence feeding durable memory and later context, with explicit uncertainty semantics.</w:t>
            </w:r>
          </w:p>
        </w:tc>
      </w:tr>
      <w:tr>
        <w:tc>
          <w:tcPr>
            <w:tcW w:type="dxa" w:w="2200"/>
            <w:shd w:fill="FFFFFF" w:val="clear"/>
          </w:tcPr>
          <w:p>
            <w:pPr>
              <w:pStyle w:val="TableText"/>
              <w:spacing w:after="0" w:line="252" w:lineRule="auto"/>
            </w:pPr>
            <w:r>
              <w:rPr>
                <w:rFonts w:ascii="Calibri" w:hAnsi="Calibri"/>
                <w:color w:val="1B2633"/>
                <w:sz w:val="18"/>
              </w:rPr>
              <w:t>What should happen next?</w:t>
            </w:r>
          </w:p>
        </w:tc>
        <w:tc>
          <w:tcPr>
            <w:tcW w:type="dxa" w:w="7160"/>
            <w:shd w:fill="FFFFFF" w:val="clear"/>
          </w:tcPr>
          <w:p>
            <w:pPr>
              <w:pStyle w:val="TableText"/>
              <w:spacing w:after="0" w:line="252" w:lineRule="auto"/>
            </w:pPr>
            <w:r>
              <w:rPr>
                <w:rFonts w:ascii="Calibri" w:hAnsi="Calibri"/>
                <w:color w:val="1B2633"/>
                <w:sz w:val="18"/>
              </w:rPr>
              <w:t>Safety and measurement first; then one authoritative runtime spine and deletion of duplicate paths.</w:t>
            </w:r>
          </w:p>
        </w:tc>
      </w:tr>
    </w:tbl>
    <w:p>
      <w:pPr>
        <w:pStyle w:val="SmallText"/>
        <w:spacing w:after="0"/>
      </w:pPr>
    </w:p>
    <w:p>
      <w:pPr>
        <w:pStyle w:val="Heading1"/>
      </w:pPr>
      <w:r>
        <w:t>2. Repository snapshot and evidence map</w:t>
      </w:r>
    </w:p>
    <w:p>
      <w:pPr/>
      <w:r>
        <w:rPr>
          <w:rFonts w:ascii="Calibri" w:hAnsi="Calibri"/>
          <w:color w:val="1B2633"/>
          <w:sz w:val="22"/>
        </w:rPr>
        <w:t>The public repository describes Sonder as local-first, adaptive, and model-agnostic. It supports local models, explicit remote/cloud routes, hybrid memory, guarded tools, durable agents, APIs, MCP, REPL, desktop/mobile clients, backups, recovery, and signed updates.</w:t>
      </w:r>
    </w:p>
    <w:p>
      <w:pPr/>
      <w:r>
        <w:rPr>
          <w:rFonts w:ascii="Calibri" w:hAnsi="Calibri"/>
          <w:color w:val="1B2633"/>
          <w:sz w:val="22"/>
        </w:rPr>
        <w:t>The detailed audit used the local checkout at commit 769a1f7fbbbeaa79b6e1b84ef81ea1edf19f8470 on September 1, 2026. The working tree was clean and the local main matched the remote main at that time. Claude should verify the current revision before implementing anything.</w:t>
      </w:r>
    </w:p>
    <w:tbl>
      <w:tblPr>
        <w:tblW w:type="dxa" w:w="9360"/>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Area</w:t>
            </w:r>
          </w:p>
        </w:tc>
        <w:tc>
          <w:tcPr>
            <w:tcW w:type="dxa" w:w="45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Current responsibility</w:t>
            </w:r>
          </w:p>
        </w:tc>
        <w:tc>
          <w:tcPr>
            <w:tcW w:type="dxa" w:w="316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Important evidence / location</w:t>
            </w:r>
          </w:p>
        </w:tc>
      </w:tr>
      <w:tr>
        <w:tc>
          <w:tcPr>
            <w:tcW w:type="dxa" w:w="1700"/>
            <w:shd w:fill="FFFFFF" w:val="clear"/>
          </w:tcPr>
          <w:p>
            <w:pPr>
              <w:pStyle w:val="TableText"/>
              <w:spacing w:after="0" w:line="252" w:lineRule="auto"/>
            </w:pPr>
            <w:r>
              <w:rPr>
                <w:rFonts w:ascii="Calibri" w:hAnsi="Calibri"/>
                <w:color w:val="1B2633"/>
                <w:sz w:val="17"/>
              </w:rPr>
              <w:t>Model gateway</w:t>
            </w:r>
          </w:p>
        </w:tc>
        <w:tc>
          <w:tcPr>
            <w:tcW w:type="dxa" w:w="4500"/>
            <w:shd w:fill="FFFFFF" w:val="clear"/>
          </w:tcPr>
          <w:p>
            <w:pPr>
              <w:pStyle w:val="TableText"/>
              <w:spacing w:after="0" w:line="252" w:lineRule="auto"/>
            </w:pPr>
            <w:r>
              <w:rPr>
                <w:rFonts w:ascii="Calibri" w:hAnsi="Calibri"/>
                <w:color w:val="1B2633"/>
                <w:sz w:val="17"/>
              </w:rPr>
              <w:t>Routes generation across local and explicitly enabled providers; normalizes errors, deadlines, retries, and consent.</w:t>
            </w:r>
          </w:p>
        </w:tc>
        <w:tc>
          <w:tcPr>
            <w:tcW w:type="dxa" w:w="3160"/>
            <w:shd w:fill="FFFFFF" w:val="clear"/>
          </w:tcPr>
          <w:p>
            <w:pPr>
              <w:pStyle w:val="TableText"/>
              <w:spacing w:after="0" w:line="252" w:lineRule="auto"/>
            </w:pPr>
            <w:r>
              <w:rPr>
                <w:rFonts w:ascii="Calibri" w:hAnsi="Calibri"/>
                <w:color w:val="1B2633"/>
                <w:sz w:val="17"/>
              </w:rPr>
              <w:t>sonder_runtime/application/ports/model_gateway.py; adapters/ollama; provider dispatch docs</w:t>
            </w:r>
          </w:p>
        </w:tc>
      </w:tr>
      <w:tr>
        <w:tc>
          <w:tcPr>
            <w:tcW w:type="dxa" w:w="1700"/>
            <w:shd w:fill="FFFFFF" w:val="clear"/>
          </w:tcPr>
          <w:p>
            <w:pPr>
              <w:pStyle w:val="TableText"/>
              <w:spacing w:after="0" w:line="252" w:lineRule="auto"/>
            </w:pPr>
            <w:r>
              <w:rPr>
                <w:rFonts w:ascii="Calibri" w:hAnsi="Calibri"/>
                <w:color w:val="1B2633"/>
                <w:sz w:val="17"/>
              </w:rPr>
              <w:t>Context and memory</w:t>
            </w:r>
          </w:p>
        </w:tc>
        <w:tc>
          <w:tcPr>
            <w:tcW w:type="dxa" w:w="4500"/>
            <w:shd w:fill="FFFFFF" w:val="clear"/>
          </w:tcPr>
          <w:p>
            <w:pPr>
              <w:pStyle w:val="TableText"/>
              <w:spacing w:after="0" w:line="252" w:lineRule="auto"/>
            </w:pPr>
            <w:r>
              <w:rPr>
                <w:rFonts w:ascii="Calibri" w:hAnsi="Calibri"/>
                <w:color w:val="1B2633"/>
                <w:sz w:val="17"/>
              </w:rPr>
              <w:t>Builds prompts, retrieves facts/lessons, records outcomes, distills reusable lessons, and supports compaction.</w:t>
            </w:r>
          </w:p>
        </w:tc>
        <w:tc>
          <w:tcPr>
            <w:tcW w:type="dxa" w:w="3160"/>
            <w:shd w:fill="FFFFFF" w:val="clear"/>
          </w:tcPr>
          <w:p>
            <w:pPr>
              <w:pStyle w:val="TableText"/>
              <w:spacing w:after="0" w:line="252" w:lineRule="auto"/>
            </w:pPr>
            <w:r>
              <w:rPr>
                <w:rFonts w:ascii="Calibri" w:hAnsi="Calibri"/>
                <w:color w:val="1B2633"/>
                <w:sz w:val="17"/>
              </w:rPr>
              <w:t>application/context_planner.py; application/memory; memory_store.py; retriever.py</w:t>
            </w:r>
          </w:p>
        </w:tc>
      </w:tr>
      <w:tr>
        <w:tc>
          <w:tcPr>
            <w:tcW w:type="dxa" w:w="1700"/>
            <w:shd w:fill="FFFFFF" w:val="clear"/>
          </w:tcPr>
          <w:p>
            <w:pPr>
              <w:pStyle w:val="TableText"/>
              <w:spacing w:after="0" w:line="252" w:lineRule="auto"/>
            </w:pPr>
            <w:r>
              <w:rPr>
                <w:rFonts w:ascii="Calibri" w:hAnsi="Calibri"/>
                <w:color w:val="1B2633"/>
                <w:sz w:val="17"/>
              </w:rPr>
              <w:t>Tools and policy</w:t>
            </w:r>
          </w:p>
        </w:tc>
        <w:tc>
          <w:tcPr>
            <w:tcW w:type="dxa" w:w="4500"/>
            <w:shd w:fill="FFFFFF" w:val="clear"/>
          </w:tcPr>
          <w:p>
            <w:pPr>
              <w:pStyle w:val="TableText"/>
              <w:spacing w:after="0" w:line="252" w:lineRule="auto"/>
            </w:pPr>
            <w:r>
              <w:rPr>
                <w:rFonts w:ascii="Calibri" w:hAnsi="Calibri"/>
                <w:color w:val="1B2633"/>
                <w:sz w:val="17"/>
              </w:rPr>
              <w:t>Validates schemas, checks permissions, obtains approval, invokes bounded tools, redacts output, and issues receipts.</w:t>
            </w:r>
          </w:p>
        </w:tc>
        <w:tc>
          <w:tcPr>
            <w:tcW w:type="dxa" w:w="3160"/>
            <w:shd w:fill="FFFFFF" w:val="clear"/>
          </w:tcPr>
          <w:p>
            <w:pPr>
              <w:pStyle w:val="TableText"/>
              <w:spacing w:after="0" w:line="252" w:lineRule="auto"/>
            </w:pPr>
            <w:r>
              <w:rPr>
                <w:rFonts w:ascii="Calibri" w:hAnsi="Calibri"/>
                <w:color w:val="1B2633"/>
                <w:sz w:val="17"/>
              </w:rPr>
              <w:t>application/tools; application/execution; adapters/filesystem; permission_modes.py</w:t>
            </w:r>
          </w:p>
        </w:tc>
      </w:tr>
      <w:tr>
        <w:tc>
          <w:tcPr>
            <w:tcW w:type="dxa" w:w="1700"/>
            <w:shd w:fill="FFFFFF" w:val="clear"/>
          </w:tcPr>
          <w:p>
            <w:pPr>
              <w:pStyle w:val="TableText"/>
              <w:spacing w:after="0" w:line="252" w:lineRule="auto"/>
            </w:pPr>
            <w:r>
              <w:rPr>
                <w:rFonts w:ascii="Calibri" w:hAnsi="Calibri"/>
                <w:color w:val="1B2633"/>
                <w:sz w:val="17"/>
              </w:rPr>
              <w:t>Agents and workflows</w:t>
            </w:r>
          </w:p>
        </w:tc>
        <w:tc>
          <w:tcPr>
            <w:tcW w:type="dxa" w:w="4500"/>
            <w:shd w:fill="FFFFFF" w:val="clear"/>
          </w:tcPr>
          <w:p>
            <w:pPr>
              <w:pStyle w:val="TableText"/>
              <w:spacing w:after="0" w:line="252" w:lineRule="auto"/>
            </w:pPr>
            <w:r>
              <w:rPr>
                <w:rFonts w:ascii="Calibri" w:hAnsi="Calibri"/>
                <w:color w:val="1B2633"/>
                <w:sz w:val="17"/>
              </w:rPr>
              <w:t>Workbench tool loop, Autopilot durable goals, Fleet parallel work, recovery, cancellation, and provenance.</w:t>
            </w:r>
          </w:p>
        </w:tc>
        <w:tc>
          <w:tcPr>
            <w:tcW w:type="dxa" w:w="3160"/>
            <w:shd w:fill="FFFFFF" w:val="clear"/>
          </w:tcPr>
          <w:p>
            <w:pPr>
              <w:pStyle w:val="TableText"/>
              <w:spacing w:after="0" w:line="252" w:lineRule="auto"/>
            </w:pPr>
            <w:r>
              <w:rPr>
                <w:rFonts w:ascii="Calibri" w:hAnsi="Calibri"/>
                <w:color w:val="1B2633"/>
                <w:sz w:val="17"/>
              </w:rPr>
              <w:t>server.py legacy paths; master_orchestrator.py; autopilot_controller.py; application/agents and workflows</w:t>
            </w:r>
          </w:p>
        </w:tc>
      </w:tr>
      <w:tr>
        <w:tc>
          <w:tcPr>
            <w:tcW w:type="dxa" w:w="1700"/>
            <w:shd w:fill="FFFFFF" w:val="clear"/>
          </w:tcPr>
          <w:p>
            <w:pPr>
              <w:pStyle w:val="TableText"/>
              <w:spacing w:after="0" w:line="252" w:lineRule="auto"/>
            </w:pPr>
            <w:r>
              <w:rPr>
                <w:rFonts w:ascii="Calibri" w:hAnsi="Calibri"/>
                <w:color w:val="1B2633"/>
                <w:sz w:val="17"/>
              </w:rPr>
              <w:t>Compute fabric</w:t>
            </w:r>
          </w:p>
        </w:tc>
        <w:tc>
          <w:tcPr>
            <w:tcW w:type="dxa" w:w="4500"/>
            <w:shd w:fill="FFFFFF" w:val="clear"/>
          </w:tcPr>
          <w:p>
            <w:pPr>
              <w:pStyle w:val="TableText"/>
              <w:spacing w:after="0" w:line="252" w:lineRule="auto"/>
            </w:pPr>
            <w:r>
              <w:rPr>
                <w:rFonts w:ascii="Calibri" w:hAnsi="Calibri"/>
                <w:color w:val="1B2633"/>
                <w:sz w:val="17"/>
              </w:rPr>
              <w:t>Cataloged, bounded jobs on local or explicitly approved private nodes with digest-bound artifacts.</w:t>
            </w:r>
          </w:p>
        </w:tc>
        <w:tc>
          <w:tcPr>
            <w:tcW w:type="dxa" w:w="3160"/>
            <w:shd w:fill="FFFFFF" w:val="clear"/>
          </w:tcPr>
          <w:p>
            <w:pPr>
              <w:pStyle w:val="TableText"/>
              <w:spacing w:after="0" w:line="252" w:lineRule="auto"/>
            </w:pPr>
            <w:r>
              <w:rPr>
                <w:rFonts w:ascii="Calibri" w:hAnsi="Calibri"/>
                <w:color w:val="1B2633"/>
                <w:sz w:val="17"/>
              </w:rPr>
              <w:t>application/compute_fabric; adapters/compute_fabric; docs/runbooks/compute-fabric.md</w:t>
            </w:r>
          </w:p>
        </w:tc>
      </w:tr>
      <w:tr>
        <w:tc>
          <w:tcPr>
            <w:tcW w:type="dxa" w:w="1700"/>
            <w:shd w:fill="FFFFFF" w:val="clear"/>
          </w:tcPr>
          <w:p>
            <w:pPr>
              <w:pStyle w:val="TableText"/>
              <w:spacing w:after="0" w:line="252" w:lineRule="auto"/>
            </w:pPr>
            <w:r>
              <w:rPr>
                <w:rFonts w:ascii="Calibri" w:hAnsi="Calibri"/>
                <w:color w:val="1B2633"/>
                <w:sz w:val="17"/>
              </w:rPr>
              <w:t>Interfaces</w:t>
            </w:r>
          </w:p>
        </w:tc>
        <w:tc>
          <w:tcPr>
            <w:tcW w:type="dxa" w:w="4500"/>
            <w:shd w:fill="FFFFFF" w:val="clear"/>
          </w:tcPr>
          <w:p>
            <w:pPr>
              <w:pStyle w:val="TableText"/>
              <w:spacing w:after="0" w:line="252" w:lineRule="auto"/>
            </w:pPr>
            <w:r>
              <w:rPr>
                <w:rFonts w:ascii="Calibri" w:hAnsi="Calibri"/>
                <w:color w:val="1B2633"/>
                <w:sz w:val="17"/>
              </w:rPr>
              <w:t>HTTP/OpenAI-compatible API, MCP, REPL, application clients, and compatibility launchers.</w:t>
            </w:r>
          </w:p>
        </w:tc>
        <w:tc>
          <w:tcPr>
            <w:tcW w:type="dxa" w:w="3160"/>
            <w:shd w:fill="FFFFFF" w:val="clear"/>
          </w:tcPr>
          <w:p>
            <w:pPr>
              <w:pStyle w:val="TableText"/>
              <w:spacing w:after="0" w:line="252" w:lineRule="auto"/>
            </w:pPr>
            <w:r>
              <w:rPr>
                <w:rFonts w:ascii="Calibri" w:hAnsi="Calibri"/>
                <w:color w:val="1B2633"/>
                <w:sz w:val="17"/>
              </w:rPr>
              <w:t>interfaces; bootstrap; server.py; sonder_runtime/__main__.py</w:t>
            </w:r>
          </w:p>
        </w:tc>
      </w:tr>
    </w:tbl>
    <w:p>
      <w:pPr>
        <w:pStyle w:val="SmallText"/>
        <w:spacing w:after="0"/>
      </w:pPr>
    </w:p>
    <w:p>
      <w:pPr/>
      <w:hyperlink r:id="rId11">
        <w:r>
          <w:rPr>
            <w:rStyle w:val="Hyperlink"/>
            <w:color w:val="2E74B5"/>
            <w:u w:val="single"/>
          </w:rPr>
          <w:t>Sonder README</w:t>
        </w:r>
      </w:hyperlink>
      <w:r>
        <w:rPr>
          <w:rFonts w:ascii="Calibri" w:hAnsi="Calibri"/>
          <w:color w:val="5B6573"/>
          <w:sz w:val="20"/>
        </w:rPr>
        <w:t xml:space="preserve"> - product positioning, interfaces, memory, consent, and model boundaries</w:t>
      </w:r>
    </w:p>
    <w:p>
      <w:pPr/>
      <w:hyperlink r:id="rId12">
        <w:r>
          <w:rPr>
            <w:rStyle w:val="Hyperlink"/>
            <w:color w:val="2E74B5"/>
            <w:u w:val="single"/>
          </w:rPr>
          <w:t>Architecture document</w:t>
        </w:r>
      </w:hyperlink>
      <w:r>
        <w:rPr>
          <w:rFonts w:ascii="Calibri" w:hAnsi="Calibri"/>
          <w:color w:val="5B6573"/>
          <w:sz w:val="20"/>
        </w:rPr>
        <w:t xml:space="preserve"> - explicit Sonder/Ollama boundary and lifecycle</w:t>
      </w:r>
    </w:p>
    <w:p>
      <w:pPr/>
      <w:hyperlink r:id="rId13">
        <w:r>
          <w:rPr>
            <w:rStyle w:val="Hyperlink"/>
            <w:color w:val="2E74B5"/>
            <w:u w:val="single"/>
          </w:rPr>
          <w:t>Package architecture</w:t>
        </w:r>
      </w:hyperlink>
      <w:r>
        <w:rPr>
          <w:rFonts w:ascii="Calibri" w:hAnsi="Calibri"/>
          <w:color w:val="5B6573"/>
          <w:sz w:val="20"/>
        </w:rPr>
        <w:t xml:space="preserve"> - domain/application/ports/adapters/bootstrap layering</w:t>
      </w:r>
    </w:p>
    <w:p>
      <w:pPr/>
      <w:hyperlink r:id="rId14">
        <w:r>
          <w:rPr>
            <w:rStyle w:val="Hyperlink"/>
            <w:color w:val="2E74B5"/>
            <w:u w:val="single"/>
          </w:rPr>
          <w:t>Harness landscape</w:t>
        </w:r>
      </w:hyperlink>
      <w:r>
        <w:rPr>
          <w:rFonts w:ascii="Calibri" w:hAnsi="Calibri"/>
          <w:color w:val="5B6573"/>
          <w:sz w:val="20"/>
        </w:rPr>
        <w:t xml:space="preserve"> - existing comparison and experiment roadmap</w:t>
      </w:r>
    </w:p>
    <w:p>
      <w:pPr>
        <w:pStyle w:val="Heading1"/>
        <w:pageBreakBefore/>
      </w:pPr>
      <w:r>
        <w:t>3. Where Sonder fits in the AI stack</w:t>
      </w:r>
    </w:p>
    <w:p>
      <w:pPr>
        <w:pStyle w:val="CodeBlock"/>
        <w:keepLines/>
        <w:spacing w:before="80" w:after="100"/>
        <w:ind w:left="115" w:right="115"/>
        <w:shd w:fill="F2F4F7" w:val="clear"/>
      </w:pPr>
      <w:r>
        <w:rPr>
          <w:rFonts w:ascii="Consolas" w:hAnsi="Consolas"/>
          <w:color w:val="263238"/>
          <w:sz w:val="18"/>
        </w:rPr>
        <w:t>Applications / Codex / Claude / MCP / REPL / OpenAI API\n                              |\n                       Sonder Runtime\n       +----------------------+----------------------+\n       |                      |                      |\n  Agent harness          Runtime state           Control plane\n  model/tool loop        memory and lessons      routing and policy\n  observations            sessions and goals      workflows and jobs\n       |                      |                      |\n       +--------------- Model gateway -------------+\n                              |\n                       Ollama / providers\n                              |\n                     Transformer inference\n                              |\n                         Model weights</w:t>
      </w:r>
    </w:p>
    <w:p>
      <w:pPr/>
      <w:r>
        <w:rPr>
          <w:rFonts w:ascii="Calibri" w:hAnsi="Calibri"/>
          <w:color w:val="1B2633"/>
          <w:sz w:val="22"/>
        </w:rPr>
        <w:t>A model is a numerical function that predicts tokens. An inference server loads the weights and executes that function. A harness decides what context to provide, what tools exist, what model to call, how to handle the model's proposed actions, and when the run is complete. Sonder includes that harness, but it also includes persistent state, policy, provider routing, durable workflows, and learning controls.</w:t>
      </w:r>
    </w:p>
    <w:tbl>
      <w:tblPr>
        <w:tblW w:type="dxa" w:w="9360"/>
        <w:tblLayout w:type="fixed"/>
        <w:tblLook w:firstColumn="1" w:firstRow="1" w:lastColumn="0" w:lastRow="0" w:noHBand="0" w:noVBand="1" w:val="04A0"/>
        <w:tblInd w:w="120" w:type="dxa"/>
      </w:tblPr>
      <w:tblGrid>
        <w:gridCol w:w="1700"/>
        <w:gridCol w:w="3600"/>
        <w:gridCol w:w="4060"/>
      </w:tblGrid>
      <w:tr>
        <w:trPr>
          <w:tblHeader w:val="true"/>
        </w:trPr>
        <w:tc>
          <w:tcPr>
            <w:tcW w:type="dxa" w:w="17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Layer</w:t>
            </w:r>
          </w:p>
        </w:tc>
        <w:tc>
          <w:tcPr>
            <w:tcW w:type="dxa" w:w="36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Codex/Claude-style harness</w:t>
            </w:r>
          </w:p>
        </w:tc>
        <w:tc>
          <w:tcPr>
            <w:tcW w:type="dxa" w:w="406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Sonder</w:t>
            </w:r>
          </w:p>
        </w:tc>
      </w:tr>
      <w:tr>
        <w:tc>
          <w:tcPr>
            <w:tcW w:type="dxa" w:w="1700"/>
            <w:shd w:fill="FFFFFF" w:val="clear"/>
          </w:tcPr>
          <w:p>
            <w:pPr>
              <w:pStyle w:val="TableText"/>
              <w:spacing w:after="0" w:line="252" w:lineRule="auto"/>
            </w:pPr>
            <w:r>
              <w:rPr>
                <w:rFonts w:ascii="Calibri" w:hAnsi="Calibri"/>
                <w:color w:val="1B2633"/>
                <w:sz w:val="17"/>
              </w:rPr>
              <w:t>Model access</w:t>
            </w:r>
          </w:p>
        </w:tc>
        <w:tc>
          <w:tcPr>
            <w:tcW w:type="dxa" w:w="3600"/>
            <w:shd w:fill="FFFFFF" w:val="clear"/>
          </w:tcPr>
          <w:p>
            <w:pPr>
              <w:pStyle w:val="TableText"/>
              <w:spacing w:after="0" w:line="252" w:lineRule="auto"/>
            </w:pPr>
            <w:r>
              <w:rPr>
                <w:rFonts w:ascii="Calibri" w:hAnsi="Calibri"/>
                <w:color w:val="1B2633"/>
                <w:sz w:val="17"/>
              </w:rPr>
              <w:t>Usually managed or injected separately from the harness.</w:t>
            </w:r>
          </w:p>
        </w:tc>
        <w:tc>
          <w:tcPr>
            <w:tcW w:type="dxa" w:w="4060"/>
            <w:shd w:fill="FFFFFF" w:val="clear"/>
          </w:tcPr>
          <w:p>
            <w:pPr>
              <w:pStyle w:val="TableText"/>
              <w:spacing w:after="0" w:line="252" w:lineRule="auto"/>
            </w:pPr>
            <w:r>
              <w:rPr>
                <w:rFonts w:ascii="Calibri" w:hAnsi="Calibri"/>
                <w:color w:val="1B2633"/>
                <w:sz w:val="17"/>
              </w:rPr>
              <w:t>Ollama-first model gateway with local, remote, and explicit cloud routes.</w:t>
            </w:r>
          </w:p>
        </w:tc>
      </w:tr>
      <w:tr>
        <w:tc>
          <w:tcPr>
            <w:tcW w:type="dxa" w:w="1700"/>
            <w:shd w:fill="FFFFFF" w:val="clear"/>
          </w:tcPr>
          <w:p>
            <w:pPr>
              <w:pStyle w:val="TableText"/>
              <w:spacing w:after="0" w:line="252" w:lineRule="auto"/>
            </w:pPr>
            <w:r>
              <w:rPr>
                <w:rFonts w:ascii="Calibri" w:hAnsi="Calibri"/>
                <w:color w:val="1B2633"/>
                <w:sz w:val="17"/>
              </w:rPr>
              <w:t>Context</w:t>
            </w:r>
          </w:p>
        </w:tc>
        <w:tc>
          <w:tcPr>
            <w:tcW w:type="dxa" w:w="3600"/>
            <w:shd w:fill="FFFFFF" w:val="clear"/>
          </w:tcPr>
          <w:p>
            <w:pPr>
              <w:pStyle w:val="TableText"/>
              <w:spacing w:after="0" w:line="252" w:lineRule="auto"/>
            </w:pPr>
            <w:r>
              <w:rPr>
                <w:rFonts w:ascii="Calibri" w:hAnsi="Calibri"/>
                <w:color w:val="1B2633"/>
                <w:sz w:val="17"/>
              </w:rPr>
              <w:t>Task history, instructions, project rules, tools, and transient observations.</w:t>
            </w:r>
          </w:p>
        </w:tc>
        <w:tc>
          <w:tcPr>
            <w:tcW w:type="dxa" w:w="4060"/>
            <w:shd w:fill="FFFFFF" w:val="clear"/>
          </w:tcPr>
          <w:p>
            <w:pPr>
              <w:pStyle w:val="TableText"/>
              <w:spacing w:after="0" w:line="252" w:lineRule="auto"/>
            </w:pPr>
            <w:r>
              <w:rPr>
                <w:rFonts w:ascii="Calibri" w:hAnsi="Calibri"/>
                <w:color w:val="1B2633"/>
                <w:sz w:val="17"/>
              </w:rPr>
              <w:t>Sessions, project-scoped facts, lessons, outcomes, compaction, context budgets, and repository evidence.</w:t>
            </w:r>
          </w:p>
        </w:tc>
      </w:tr>
      <w:tr>
        <w:tc>
          <w:tcPr>
            <w:tcW w:type="dxa" w:w="1700"/>
            <w:shd w:fill="FFFFFF" w:val="clear"/>
          </w:tcPr>
          <w:p>
            <w:pPr>
              <w:pStyle w:val="TableText"/>
              <w:spacing w:after="0" w:line="252" w:lineRule="auto"/>
            </w:pPr>
            <w:r>
              <w:rPr>
                <w:rFonts w:ascii="Calibri" w:hAnsi="Calibri"/>
                <w:color w:val="1B2633"/>
                <w:sz w:val="17"/>
              </w:rPr>
              <w:t>Tools</w:t>
            </w:r>
          </w:p>
        </w:tc>
        <w:tc>
          <w:tcPr>
            <w:tcW w:type="dxa" w:w="3600"/>
            <w:shd w:fill="FFFFFF" w:val="clear"/>
          </w:tcPr>
          <w:p>
            <w:pPr>
              <w:pStyle w:val="TableText"/>
              <w:spacing w:after="0" w:line="252" w:lineRule="auto"/>
            </w:pPr>
            <w:r>
              <w:rPr>
                <w:rFonts w:ascii="Calibri" w:hAnsi="Calibri"/>
                <w:color w:val="1B2633"/>
                <w:sz w:val="17"/>
              </w:rPr>
              <w:t>Shell, patch, MCP, apps, browser, and host-specific capabilities.</w:t>
            </w:r>
          </w:p>
        </w:tc>
        <w:tc>
          <w:tcPr>
            <w:tcW w:type="dxa" w:w="4060"/>
            <w:shd w:fill="FFFFFF" w:val="clear"/>
          </w:tcPr>
          <w:p>
            <w:pPr>
              <w:pStyle w:val="TableText"/>
              <w:spacing w:after="0" w:line="252" w:lineRule="auto"/>
            </w:pPr>
            <w:r>
              <w:rPr>
                <w:rFonts w:ascii="Calibri" w:hAnsi="Calibri"/>
                <w:color w:val="1B2633"/>
                <w:sz w:val="17"/>
              </w:rPr>
              <w:t>Guarded file/code/data/web/artifact tools, MCP, OpenAI-compatible tools, and bounded execution.</w:t>
            </w:r>
          </w:p>
        </w:tc>
      </w:tr>
      <w:tr>
        <w:tc>
          <w:tcPr>
            <w:tcW w:type="dxa" w:w="1700"/>
            <w:shd w:fill="FFFFFF" w:val="clear"/>
          </w:tcPr>
          <w:p>
            <w:pPr>
              <w:pStyle w:val="TableText"/>
              <w:spacing w:after="0" w:line="252" w:lineRule="auto"/>
            </w:pPr>
            <w:r>
              <w:rPr>
                <w:rFonts w:ascii="Calibri" w:hAnsi="Calibri"/>
                <w:color w:val="1B2633"/>
                <w:sz w:val="17"/>
              </w:rPr>
              <w:t>Security</w:t>
            </w:r>
          </w:p>
        </w:tc>
        <w:tc>
          <w:tcPr>
            <w:tcW w:type="dxa" w:w="3600"/>
            <w:shd w:fill="FFFFFF" w:val="clear"/>
          </w:tcPr>
          <w:p>
            <w:pPr>
              <w:pStyle w:val="TableText"/>
              <w:spacing w:after="0" w:line="252" w:lineRule="auto"/>
            </w:pPr>
            <w:r>
              <w:rPr>
                <w:rFonts w:ascii="Calibri" w:hAnsi="Calibri"/>
                <w:color w:val="1B2633"/>
                <w:sz w:val="17"/>
              </w:rPr>
              <w:t>Host sandbox, approvals, permissions, and integration boundaries.</w:t>
            </w:r>
          </w:p>
        </w:tc>
        <w:tc>
          <w:tcPr>
            <w:tcW w:type="dxa" w:w="4060"/>
            <w:shd w:fill="FFFFFF" w:val="clear"/>
          </w:tcPr>
          <w:p>
            <w:pPr>
              <w:pStyle w:val="TableText"/>
              <w:spacing w:after="0" w:line="252" w:lineRule="auto"/>
            </w:pPr>
            <w:r>
              <w:rPr>
                <w:rFonts w:ascii="Calibri" w:hAnsi="Calibri"/>
                <w:color w:val="1B2633"/>
                <w:sz w:val="17"/>
              </w:rPr>
              <w:t>Tool policy, roots, consent lanes, privacy gates, receipts; policy guards are not an OS sandbox.</w:t>
            </w:r>
          </w:p>
        </w:tc>
      </w:tr>
      <w:tr>
        <w:tc>
          <w:tcPr>
            <w:tcW w:type="dxa" w:w="1700"/>
            <w:shd w:fill="FFFFFF" w:val="clear"/>
          </w:tcPr>
          <w:p>
            <w:pPr>
              <w:pStyle w:val="TableText"/>
              <w:spacing w:after="0" w:line="252" w:lineRule="auto"/>
            </w:pPr>
            <w:r>
              <w:rPr>
                <w:rFonts w:ascii="Calibri" w:hAnsi="Calibri"/>
                <w:color w:val="1B2633"/>
                <w:sz w:val="17"/>
              </w:rPr>
              <w:t>Orchestration</w:t>
            </w:r>
          </w:p>
        </w:tc>
        <w:tc>
          <w:tcPr>
            <w:tcW w:type="dxa" w:w="3600"/>
            <w:shd w:fill="FFFFFF" w:val="clear"/>
          </w:tcPr>
          <w:p>
            <w:pPr>
              <w:pStyle w:val="TableText"/>
              <w:spacing w:after="0" w:line="252" w:lineRule="auto"/>
            </w:pPr>
            <w:r>
              <w:rPr>
                <w:rFonts w:ascii="Calibri" w:hAnsi="Calibri"/>
                <w:color w:val="1B2633"/>
                <w:sz w:val="17"/>
              </w:rPr>
              <w:t>Threads, subagents, event streams, and long-running turns.</w:t>
            </w:r>
          </w:p>
        </w:tc>
        <w:tc>
          <w:tcPr>
            <w:tcW w:type="dxa" w:w="4060"/>
            <w:shd w:fill="FFFFFF" w:val="clear"/>
          </w:tcPr>
          <w:p>
            <w:pPr>
              <w:pStyle w:val="TableText"/>
              <w:spacing w:after="0" w:line="252" w:lineRule="auto"/>
            </w:pPr>
            <w:r>
              <w:rPr>
                <w:rFonts w:ascii="Calibri" w:hAnsi="Calibri"/>
                <w:color w:val="1B2633"/>
                <w:sz w:val="17"/>
              </w:rPr>
              <w:t>Workbench, Autopilot, Fleet, jobs, recovery, cancellation, private compute, and durable state.</w:t>
            </w:r>
          </w:p>
        </w:tc>
      </w:tr>
      <w:tr>
        <w:tc>
          <w:tcPr>
            <w:tcW w:type="dxa" w:w="1700"/>
            <w:shd w:fill="FFFFFF" w:val="clear"/>
          </w:tcPr>
          <w:p>
            <w:pPr>
              <w:pStyle w:val="TableText"/>
              <w:spacing w:after="0" w:line="252" w:lineRule="auto"/>
            </w:pPr>
            <w:r>
              <w:rPr>
                <w:rFonts w:ascii="Calibri" w:hAnsi="Calibri"/>
                <w:color w:val="1B2633"/>
                <w:sz w:val="17"/>
              </w:rPr>
              <w:t>Learning</w:t>
            </w:r>
          </w:p>
        </w:tc>
        <w:tc>
          <w:tcPr>
            <w:tcW w:type="dxa" w:w="3600"/>
            <w:shd w:fill="FFFFFF" w:val="clear"/>
          </w:tcPr>
          <w:p>
            <w:pPr>
              <w:pStyle w:val="TableText"/>
              <w:spacing w:after="0" w:line="252" w:lineRule="auto"/>
            </w:pPr>
            <w:r>
              <w:rPr>
                <w:rFonts w:ascii="Calibri" w:hAnsi="Calibri"/>
                <w:color w:val="1B2633"/>
                <w:sz w:val="17"/>
              </w:rPr>
              <w:t>Usually task-context adaptation rather than local weight training.</w:t>
            </w:r>
          </w:p>
        </w:tc>
        <w:tc>
          <w:tcPr>
            <w:tcW w:type="dxa" w:w="4060"/>
            <w:shd w:fill="FFFFFF" w:val="clear"/>
          </w:tcPr>
          <w:p>
            <w:pPr>
              <w:pStyle w:val="TableText"/>
              <w:spacing w:after="0" w:line="252" w:lineRule="auto"/>
            </w:pPr>
            <w:r>
              <w:rPr>
                <w:rFonts w:ascii="Calibri" w:hAnsi="Calibri"/>
                <w:color w:val="1B2633"/>
                <w:sz w:val="17"/>
              </w:rPr>
              <w:t>Grounded outcomes, lesson retrieval, evaluation, and attended LoRA/QLoRA lifecycle.</w:t>
            </w:r>
          </w:p>
        </w:tc>
      </w:tr>
    </w:tbl>
    <w:p>
      <w:pPr>
        <w:pStyle w:val="SmallText"/>
        <w:spacing w:after="0"/>
      </w:pPr>
    </w:p>
    <w:p>
      <w:pPr>
        <w:pStyle w:val="Heading2"/>
      </w:pPr>
      <w:r>
        <w:t>Nested harnesses</w:t>
      </w:r>
    </w:p>
    <w:p>
      <w:pPr/>
      <w:r>
        <w:rPr>
          <w:rFonts w:ascii="Calibri" w:hAnsi="Calibri"/>
          <w:color w:val="1B2633"/>
          <w:sz w:val="22"/>
        </w:rPr>
        <w:t>When Claude or Codex calls Sonder through MCP, there are two harnesses. The outer harness owns the user-facing task and its host integration. Sonder owns delegated local inference, project memory, bounded execution, and its own workflow state. This is useful only when the ownership boundary is explicit; otherwise the systems duplicate permissions, histories, and tool dispatch.</w:t>
      </w:r>
    </w:p>
    <w:p>
      <w:pPr>
        <w:pStyle w:val="CodeBlock"/>
        <w:keepLines/>
        <w:spacing w:before="80" w:after="100"/>
        <w:ind w:left="115" w:right="115"/>
        <w:shd w:fill="F2F4F7" w:val="clear"/>
      </w:pPr>
      <w:r>
        <w:rPr>
          <w:rFonts w:ascii="Consolas" w:hAnsi="Consolas"/>
          <w:color w:val="263238"/>
          <w:sz w:val="18"/>
        </w:rPr>
        <w:t>User\n  -&gt; Outer harness: Claude or Codex\n  -&gt; Sonder: local routing, memory, tools, workflows\n  -&gt; Ollama\n  -&gt; Transformer model</w:t>
      </w:r>
    </w:p>
    <w:p>
      <w:pPr>
        <w:pStyle w:val="Heading1"/>
        <w:pageBreakBefore/>
      </w:pPr>
      <w:r>
        <w:t>4. Mathematical model</w:t>
      </w:r>
    </w:p>
    <w:p>
      <w:pPr>
        <w:pStyle w:val="Heading2"/>
      </w:pPr>
      <w:r>
        <w:t>Transformer inference</w:t>
      </w:r>
    </w:p>
    <w:p>
      <w:pPr/>
      <w:r>
        <w:rPr>
          <w:rFonts w:ascii="Calibri" w:hAnsi="Calibri"/>
          <w:color w:val="1B2633"/>
          <w:sz w:val="22"/>
        </w:rPr>
        <w:t>The underlying model is autoregressive. It estimates the probability of the next token given prior tokens and a context:</w:t>
      </w:r>
    </w:p>
    <w:p>
      <w:pPr>
        <w:pStyle w:val="CodeBlock"/>
        <w:keepLines/>
        <w:spacing w:before="80" w:after="100"/>
        <w:ind w:left="115" w:right="115"/>
        <w:shd w:fill="F2F4F7" w:val="clear"/>
      </w:pPr>
      <w:r>
        <w:rPr>
          <w:rFonts w:ascii="Consolas" w:hAnsi="Consolas"/>
          <w:color w:val="263238"/>
          <w:sz w:val="18"/>
        </w:rPr>
        <w:t>p(y_t | y_&lt;t, C_t; theta)\n\nAttention(Q,K,V) = softmax(Q K^T / sqrt(d_k)) V\n\nX1 = LayerNorm(X + Attention(X))\nXnext = LayerNorm(X1 + MLP(X1))</w:t>
      </w:r>
    </w:p>
    <w:p>
      <w:pPr/>
      <w:r>
        <w:rPr>
          <w:rFonts w:ascii="Calibri" w:hAnsi="Calibri"/>
          <w:color w:val="1B2633"/>
          <w:sz w:val="22"/>
        </w:rPr>
        <w:t>The model produces a token distribution, samples or selects a token, appends it to the sequence, and repeats. The model's parameters are theta. Ollama performs the serving and inference; Sonder normally does not alter theta during ordinary interaction.</w:t>
      </w:r>
    </w:p>
    <w:p>
      <w:pPr>
        <w:pStyle w:val="Heading2"/>
      </w:pPr>
      <w:r>
        <w:t>Sonder runtime state</w:t>
      </w:r>
    </w:p>
    <w:p>
      <w:pPr>
        <w:pStyle w:val="CodeBlock"/>
        <w:keepLines/>
        <w:spacing w:before="80" w:after="100"/>
        <w:ind w:left="115" w:right="115"/>
        <w:shd w:fill="F2F4F7" w:val="clear"/>
      </w:pPr>
      <w:r>
        <w:rPr>
          <w:rFonts w:ascii="Consolas" w:hAnsi="Consolas"/>
          <w:color w:val="263238"/>
          <w:sz w:val="18"/>
        </w:rPr>
        <w:t>S_t = (H_t, M_t, Pi_t, T_t, G_t, E_t)\n\nH_t  = conversation and session history\nM_t  = facts, lessons, embeddings, and outcomes\nPi_t = permissions, consent, policy, and workspace roots\nT_t  = available tools and schemas\nG_t  = durable goals, fleet jobs, and workflow state\nE_t  = environment and execution evidence</w:t>
      </w:r>
    </w:p>
    <w:p>
      <w:pPr/>
      <w:r>
        <w:rPr>
          <w:rFonts w:ascii="Calibri" w:hAnsi="Calibri"/>
          <w:color w:val="1B2633"/>
          <w:sz w:val="22"/>
        </w:rPr>
        <w:t>A simplified Sonder turn is:</w:t>
      </w:r>
    </w:p>
    <w:p>
      <w:pPr>
        <w:pStyle w:val="CodeBlock"/>
        <w:keepLines/>
        <w:spacing w:before="80" w:after="100"/>
        <w:ind w:left="115" w:right="115"/>
        <w:shd w:fill="F2F4F7" w:val="clear"/>
      </w:pPr>
      <w:r>
        <w:rPr>
          <w:rFonts w:ascii="Consolas" w:hAnsi="Consolas"/>
          <w:color w:val="263238"/>
          <w:sz w:val="18"/>
        </w:rPr>
        <w:t>q_t = Classify(user_request, S_t)\nm_t = Route(q_t, lane, capabilities, health, consent)\nR_t = Retrieve(user_request, M_t, project_scope)\nC_t = BuildContext(user_request, H_t, R_t, Pi_t, T_t)\na_t ~ Model_m_t(. | C_t)\n\nif a_t proposes a tool call:\n    decision = Authorize(a_t, Pi_t)\n    observation = Execute(a_t) if allowed else Reject(a_t)\n    H_(t+1) = H_t union {(a_t, observation)}</w:t>
      </w:r>
    </w:p>
    <w:p>
      <w:pPr/>
      <w:r>
        <w:rPr>
          <w:rFonts w:ascii="Calibri" w:hAnsi="Calibri"/>
          <w:color w:val="1B2633"/>
          <w:sz w:val="22"/>
        </w:rPr>
        <w:t>The loop continues only while the run is not complete, blocked, cancelled, unsafe, or out of budget. This is the ordinary agent harness. Sonder's additional identity is its persistent evidence loop:</w:t>
      </w:r>
    </w:p>
    <w:p>
      <w:pPr>
        <w:pStyle w:val="CodeBlock"/>
        <w:keepLines/>
        <w:spacing w:before="80" w:after="100"/>
        <w:ind w:left="115" w:right="115"/>
        <w:shd w:fill="F2F4F7" w:val="clear"/>
      </w:pPr>
      <w:r>
        <w:rPr>
          <w:rFonts w:ascii="Consolas" w:hAnsi="Consolas"/>
          <w:color w:val="263238"/>
          <w:sz w:val="18"/>
        </w:rPr>
        <w:t>r_t = GroundOutcome(observation, tests, receipts, user_feedback)\nlesson_t = DistillLesson(H_t, a_t, observation, r_t)\nM_(t+1) = Store(M_t, lesson_t, r_t)\n\ntheta_(t+1) = theta_t       # ordinary learning\nM_(t+1) != M_t</w:t>
      </w:r>
    </w:p>
    <w:p>
      <w:pPr>
        <w:pStyle w:val="Heading2"/>
      </w:pPr>
      <w:r>
        <w:t>Python-shaped pseudocode</w:t>
      </w:r>
    </w:p>
    <w:p>
      <w:pPr>
        <w:pStyle w:val="CodeBlock"/>
        <w:keepLines/>
        <w:spacing w:before="80" w:after="100"/>
        <w:ind w:left="115" w:right="115"/>
        <w:shd w:fill="F2F4F7" w:val="clear"/>
      </w:pPr>
      <w:r>
        <w:rPr>
          <w:rFonts w:ascii="Consolas" w:hAnsi="Consolas"/>
          <w:color w:val="263238"/>
          <w:sz w:val="18"/>
        </w:rPr>
        <w:t>class SonderTurn:\n    def run(self, request, state):\n        task = self.classifier.classify(request, state)\n        route = self.router.choose(task, state.policy, state.health)\n        memories = self.memory.retrieve(request, project=state.project)\n        context = self.context.build(\n            request=request, history=state.history, memories=memories,\n            tools=state.tools, policy=state.policy, route=route,\n        )\n\n        for step in range(state.budget.max_steps):\n            proposal = self.gateway.generate(route, context)\n            action = self.parser.action_or_final(proposal)\n\n            if action.is_final:\n                return self.finish(action.text, verified=False)\n\n            receipt = self.tools.execute(\n                action, policy=state.policy,\n                deadline=state.deadline, cancellation=state.cancel,\n            )\n            context = context.with_observation(receipt)\n\n            if receipt.mutated:\n                self.verify_required_effects(receipt)\n\n        return self.finish("budget exhausted", terminal="budget_exhausted")</w:t>
      </w:r>
    </w:p>
    <w:p>
      <w:pPr>
        <w:pStyle w:val="Heading2"/>
      </w:pPr>
      <w:r>
        <w:t>Learning and training distinction</w:t>
      </w:r>
    </w:p>
    <w:p>
      <w:pPr/>
      <w:r>
        <w:rPr>
          <w:rFonts w:ascii="Calibri" w:hAnsi="Calibri"/>
          <w:color w:val="1B2633"/>
          <w:sz w:val="22"/>
        </w:rPr>
        <w:t>A good execution outcome can produce a durable lesson, but that lesson is retrieved context, not a weight update. Adapter training is a separate attended process:</w:t>
      </w:r>
    </w:p>
    <w:p>
      <w:pPr>
        <w:pStyle w:val="CodeBlock"/>
        <w:keepLines/>
        <w:spacing w:before="80" w:after="100"/>
        <w:ind w:left="115" w:right="115"/>
        <w:shd w:fill="F2F4F7" w:val="clear"/>
      </w:pPr>
      <w:r>
        <w:rPr>
          <w:rFonts w:ascii="Consolas" w:hAnsi="Consolas"/>
          <w:color w:val="263238"/>
          <w:sz w:val="18"/>
        </w:rPr>
        <w:t>W_prime = W + B A\nphi_star = argmin_phi sum_(x,y in D) -log p_(theta,phi)(y | x)</w:t>
      </w:r>
    </w:p>
    <w:p>
      <w:pPr/>
      <w:r>
        <w:rPr>
          <w:rFonts w:ascii="Calibri" w:hAnsi="Calibri"/>
          <w:color w:val="1B2633"/>
          <w:sz w:val="22"/>
        </w:rPr>
        <w:t>Training should therefore be the last consumer of the evidence pipeline, after labels, verifiers, replay, retrieval, context selection, and terminal states are trustworthy.</w:t>
      </w:r>
    </w:p>
    <w:p>
      <w:pPr>
        <w:pStyle w:val="Heading1"/>
      </w:pPr>
      <w:r>
        <w:t>5. Existing strengths to preserve</w:t>
      </w:r>
    </w:p>
    <w:p>
      <w:pPr>
        <w:pStyle w:val="ListBullet"/>
      </w:pPr>
      <w:r>
        <w:rPr>
          <w:rFonts w:ascii="Calibri" w:hAnsi="Calibri"/>
          <w:color w:val="1B2633"/>
          <w:sz w:val="22"/>
        </w:rPr>
        <w:t>Unknown is distinct from failed. Missing tooling, unavailable infrastructure, unchecked results, and uncertain execution are not silently turned into ordinary failures.</w:t>
      </w:r>
    </w:p>
    <w:p>
      <w:pPr>
        <w:pStyle w:val="ListBullet"/>
      </w:pPr>
      <w:r>
        <w:rPr>
          <w:rFonts w:ascii="Calibri" w:hAnsi="Calibri"/>
          <w:color w:val="1B2633"/>
          <w:sz w:val="22"/>
        </w:rPr>
        <w:t>Outcome populations are separated. Caller judgments, machine verification, attributed results, self-curriculum, and unknown sources should not be averaged as if they were equivalent evidence.</w:t>
      </w:r>
    </w:p>
    <w:p>
      <w:pPr>
        <w:pStyle w:val="ListBullet"/>
      </w:pPr>
      <w:r>
        <w:rPr>
          <w:rFonts w:ascii="Calibri" w:hAnsi="Calibri"/>
          <w:color w:val="1B2633"/>
          <w:sz w:val="22"/>
        </w:rPr>
        <w:t>Crash uncertainty is explicit. If a side effect may have happened, the runtime should reconcile it rather than replaying blindly.</w:t>
      </w:r>
    </w:p>
    <w:p>
      <w:pPr>
        <w:pStyle w:val="ListBullet"/>
      </w:pPr>
      <w:r>
        <w:rPr>
          <w:rFonts w:ascii="Calibri" w:hAnsi="Calibri"/>
          <w:color w:val="1B2633"/>
          <w:sz w:val="22"/>
        </w:rPr>
        <w:t>The typed architecture has the right dependency direction: pure domain rules, application use cases, declared ports, infrastructure adapters, and a composition root.</w:t>
      </w:r>
    </w:p>
    <w:p>
      <w:pPr>
        <w:pStyle w:val="ListBullet"/>
      </w:pPr>
      <w:r>
        <w:rPr>
          <w:rFonts w:ascii="Calibri" w:hAnsi="Calibri"/>
          <w:color w:val="1B2633"/>
          <w:sz w:val="22"/>
        </w:rPr>
        <w:t>The model gateway, tool gateway, memory contracts, compaction contracts, Autopilot/Fleet state, compute fabric, receipts, backups, and update machinery are meaningful foundations.</w:t>
      </w:r>
    </w:p>
    <w:p>
      <w:pPr>
        <w:pStyle w:val="ListBullet"/>
      </w:pPr>
      <w:r>
        <w:rPr>
          <w:rFonts w:ascii="Calibri" w:hAnsi="Calibri"/>
          <w:color w:val="1B2633"/>
          <w:sz w:val="22"/>
        </w:rPr>
        <w:t>The local-first posture is coherent: cloud, remote Ollama, private-node compute, and local execution have separate consent lanes.</w:t>
      </w:r>
    </w:p>
    <w:p>
      <w:pPr/>
      <w:hyperlink r:id="rId15">
        <w:r>
          <w:rPr>
            <w:rStyle w:val="Hyperlink"/>
            <w:color w:val="2E74B5"/>
            <w:u w:val="single"/>
          </w:rPr>
          <w:t>Memory and learning</w:t>
        </w:r>
      </w:hyperlink>
      <w:r>
        <w:rPr>
          <w:rFonts w:ascii="Calibri" w:hAnsi="Calibri"/>
          <w:color w:val="5B6573"/>
          <w:sz w:val="20"/>
        </w:rPr>
        <w:t xml:space="preserve"> - grounded outcomes, retrieval, and lesson behavior</w:t>
      </w:r>
    </w:p>
    <w:p>
      <w:pPr/>
      <w:hyperlink r:id="rId16">
        <w:r>
          <w:rPr>
            <w:rStyle w:val="Hyperlink"/>
            <w:color w:val="2E74B5"/>
            <w:u w:val="single"/>
          </w:rPr>
          <w:t>Agent / Autopilot / Fleet</w:t>
        </w:r>
      </w:hyperlink>
      <w:r>
        <w:rPr>
          <w:rFonts w:ascii="Calibri" w:hAnsi="Calibri"/>
          <w:color w:val="5B6573"/>
          <w:sz w:val="20"/>
        </w:rPr>
        <w:t xml:space="preserve"> - inspect/implement/validate/report, durable goals, and fleet behavior</w:t>
      </w:r>
    </w:p>
    <w:p>
      <w:pPr>
        <w:pStyle w:val="Heading1"/>
      </w:pPr>
      <w:r>
        <w:t>6. Current gaps and architectural risks</w:t>
      </w:r>
    </w:p>
    <w:p>
      <w:pPr>
        <w:pStyle w:val="Heading2"/>
      </w:pPr>
      <w:r>
        <w:t>Two overlapping runtimes</w:t>
      </w:r>
    </w:p>
    <w:p>
      <w:pPr/>
      <w:r>
        <w:rPr>
          <w:rFonts w:ascii="Calibri" w:hAnsi="Calibri"/>
          <w:color w:val="1B2633"/>
          <w:sz w:val="22"/>
        </w:rPr>
        <w:t>The typed sonder_runtime/ package and the older root/server.py runtime both still participate in live behavior. The risk is duplicate ownership: two model-call paths, two memory paths, two tool-dispatch paths, and multiple places that can decide persistence, activity, or completion.</w:t>
      </w:r>
    </w:p>
    <w:p>
      <w:pPr>
        <w:pStyle w:val="Heading2"/>
      </w:pPr>
      <w:r>
        <w:t>Sophisticated but unwired components</w:t>
      </w:r>
    </w:p>
    <w:tbl>
      <w:tblPr>
        <w:tblW w:type="dxa" w:w="9360"/>
        <w:tblLayout w:type="fixed"/>
        <w:tblLook w:firstColumn="1" w:firstRow="1" w:lastColumn="0" w:lastRow="0" w:noHBand="0" w:noVBand="1" w:val="04A0"/>
        <w:tblInd w:w="120" w:type="dxa"/>
      </w:tblPr>
      <w:tblGrid>
        <w:gridCol w:w="2100"/>
        <w:gridCol w:w="3800"/>
        <w:gridCol w:w="3460"/>
      </w:tblGrid>
      <w:tr>
        <w:trPr>
          <w:tblHeader w:val="true"/>
        </w:trPr>
        <w:tc>
          <w:tcPr>
            <w:tcW w:type="dxa" w:w="21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Component</w:t>
            </w:r>
          </w:p>
        </w:tc>
        <w:tc>
          <w:tcPr>
            <w:tcW w:type="dxa" w:w="38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Why it matters</w:t>
            </w:r>
          </w:p>
        </w:tc>
        <w:tc>
          <w:tcPr>
            <w:tcW w:type="dxa" w:w="346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Recommended treatment</w:t>
            </w:r>
          </w:p>
        </w:tc>
      </w:tr>
      <w:tr>
        <w:tc>
          <w:tcPr>
            <w:tcW w:type="dxa" w:w="2100"/>
            <w:shd w:fill="FFFFFF" w:val="clear"/>
          </w:tcPr>
          <w:p>
            <w:pPr>
              <w:pStyle w:val="TableText"/>
              <w:spacing w:after="0" w:line="252" w:lineRule="auto"/>
            </w:pPr>
            <w:r>
              <w:rPr>
                <w:rFonts w:ascii="Calibri" w:hAnsi="Calibri"/>
                <w:color w:val="1B2633"/>
                <w:sz w:val="17"/>
              </w:rPr>
              <w:t>Trajectory replay</w:t>
            </w:r>
          </w:p>
        </w:tc>
        <w:tc>
          <w:tcPr>
            <w:tcW w:type="dxa" w:w="3800"/>
            <w:shd w:fill="FFFFFF" w:val="clear"/>
          </w:tcPr>
          <w:p>
            <w:pPr>
              <w:pStyle w:val="TableText"/>
              <w:spacing w:after="0" w:line="252" w:lineRule="auto"/>
            </w:pPr>
            <w:r>
              <w:rPr>
                <w:rFonts w:ascii="Calibri" w:hAnsi="Calibri"/>
                <w:color w:val="1B2633"/>
                <w:sz w:val="17"/>
              </w:rPr>
              <w:t>Can compare alternate models, prompts, routes, or compaction against real trajectories.</w:t>
            </w:r>
          </w:p>
        </w:tc>
        <w:tc>
          <w:tcPr>
            <w:tcW w:type="dxa" w:w="3460"/>
            <w:shd w:fill="FFFFFF" w:val="clear"/>
          </w:tcPr>
          <w:p>
            <w:pPr>
              <w:pStyle w:val="TableText"/>
              <w:spacing w:after="0" w:line="252" w:lineRule="auto"/>
            </w:pPr>
            <w:r>
              <w:rPr>
                <w:rFonts w:ascii="Calibri" w:hAnsi="Calibri"/>
                <w:color w:val="1B2633"/>
                <w:sz w:val="17"/>
              </w:rPr>
              <w:t>Wire into ordinary evaluation runs; keep side effects substituted by recorded evidence.</w:t>
            </w:r>
          </w:p>
        </w:tc>
      </w:tr>
      <w:tr>
        <w:tc>
          <w:tcPr>
            <w:tcW w:type="dxa" w:w="2100"/>
            <w:shd w:fill="FFFFFF" w:val="clear"/>
          </w:tcPr>
          <w:p>
            <w:pPr>
              <w:pStyle w:val="TableText"/>
              <w:spacing w:after="0" w:line="252" w:lineRule="auto"/>
            </w:pPr>
            <w:r>
              <w:rPr>
                <w:rFonts w:ascii="Calibri" w:hAnsi="Calibri"/>
                <w:color w:val="1B2633"/>
                <w:sz w:val="17"/>
              </w:rPr>
              <w:t>Section-budgeted context planner</w:t>
            </w:r>
          </w:p>
        </w:tc>
        <w:tc>
          <w:tcPr>
            <w:tcW w:type="dxa" w:w="3800"/>
            <w:shd w:fill="FFFFFF" w:val="clear"/>
          </w:tcPr>
          <w:p>
            <w:pPr>
              <w:pStyle w:val="TableText"/>
              <w:spacing w:after="0" w:line="252" w:lineRule="auto"/>
            </w:pPr>
            <w:r>
              <w:rPr>
                <w:rFonts w:ascii="Calibri" w:hAnsi="Calibri"/>
                <w:color w:val="1B2633"/>
                <w:sz w:val="17"/>
              </w:rPr>
              <w:t>Can make context selection explicit, explainable, and bounded.</w:t>
            </w:r>
          </w:p>
        </w:tc>
        <w:tc>
          <w:tcPr>
            <w:tcW w:type="dxa" w:w="3460"/>
            <w:shd w:fill="FFFFFF" w:val="clear"/>
          </w:tcPr>
          <w:p>
            <w:pPr>
              <w:pStyle w:val="TableText"/>
              <w:spacing w:after="0" w:line="252" w:lineRule="auto"/>
            </w:pPr>
            <w:r>
              <w:rPr>
                <w:rFonts w:ascii="Calibri" w:hAnsi="Calibri"/>
                <w:color w:val="1B2633"/>
                <w:sz w:val="17"/>
              </w:rPr>
              <w:t>Shadow against actual prompts before cutover.</w:t>
            </w:r>
          </w:p>
        </w:tc>
      </w:tr>
      <w:tr>
        <w:tc>
          <w:tcPr>
            <w:tcW w:type="dxa" w:w="2100"/>
            <w:shd w:fill="FFFFFF" w:val="clear"/>
          </w:tcPr>
          <w:p>
            <w:pPr>
              <w:pStyle w:val="TableText"/>
              <w:spacing w:after="0" w:line="252" w:lineRule="auto"/>
            </w:pPr>
            <w:r>
              <w:rPr>
                <w:rFonts w:ascii="Calibri" w:hAnsi="Calibri"/>
                <w:color w:val="1B2633"/>
                <w:sz w:val="17"/>
              </w:rPr>
              <w:t>Lesson decay / contradiction detection</w:t>
            </w:r>
          </w:p>
        </w:tc>
        <w:tc>
          <w:tcPr>
            <w:tcW w:type="dxa" w:w="3800"/>
            <w:shd w:fill="FFFFFF" w:val="clear"/>
          </w:tcPr>
          <w:p>
            <w:pPr>
              <w:pStyle w:val="TableText"/>
              <w:spacing w:after="0" w:line="252" w:lineRule="auto"/>
            </w:pPr>
            <w:r>
              <w:rPr>
                <w:rFonts w:ascii="Calibri" w:hAnsi="Calibri"/>
                <w:color w:val="1B2633"/>
                <w:sz w:val="17"/>
              </w:rPr>
              <w:t>Can suppress stale or conflicting lessons.</w:t>
            </w:r>
          </w:p>
        </w:tc>
        <w:tc>
          <w:tcPr>
            <w:tcW w:type="dxa" w:w="3460"/>
            <w:shd w:fill="FFFFFF" w:val="clear"/>
          </w:tcPr>
          <w:p>
            <w:pPr>
              <w:pStyle w:val="TableText"/>
              <w:spacing w:after="0" w:line="252" w:lineRule="auto"/>
            </w:pPr>
            <w:r>
              <w:rPr>
                <w:rFonts w:ascii="Calibri" w:hAnsi="Calibri"/>
                <w:color w:val="1B2633"/>
                <w:sz w:val="17"/>
              </w:rPr>
              <w:t>Shadow rank changes and measure harmful injection before enabling.</w:t>
            </w:r>
          </w:p>
        </w:tc>
      </w:tr>
      <w:tr>
        <w:tc>
          <w:tcPr>
            <w:tcW w:type="dxa" w:w="2100"/>
            <w:shd w:fill="FFFFFF" w:val="clear"/>
          </w:tcPr>
          <w:p>
            <w:pPr>
              <w:pStyle w:val="TableText"/>
              <w:spacing w:after="0" w:line="252" w:lineRule="auto"/>
            </w:pPr>
            <w:r>
              <w:rPr>
                <w:rFonts w:ascii="Calibri" w:hAnsi="Calibri"/>
                <w:color w:val="1B2633"/>
                <w:sz w:val="17"/>
              </w:rPr>
              <w:t>Outbox / queued-action ledgers</w:t>
            </w:r>
          </w:p>
        </w:tc>
        <w:tc>
          <w:tcPr>
            <w:tcW w:type="dxa" w:w="3800"/>
            <w:shd w:fill="FFFFFF" w:val="clear"/>
          </w:tcPr>
          <w:p>
            <w:pPr>
              <w:pStyle w:val="TableText"/>
              <w:spacing w:after="0" w:line="252" w:lineRule="auto"/>
            </w:pPr>
            <w:r>
              <w:rPr>
                <w:rFonts w:ascii="Calibri" w:hAnsi="Calibri"/>
                <w:color w:val="1B2633"/>
                <w:sz w:val="17"/>
              </w:rPr>
              <w:t>Can make event projection and approval flows durable.</w:t>
            </w:r>
          </w:p>
        </w:tc>
        <w:tc>
          <w:tcPr>
            <w:tcW w:type="dxa" w:w="3460"/>
            <w:shd w:fill="FFFFFF" w:val="clear"/>
          </w:tcPr>
          <w:p>
            <w:pPr>
              <w:pStyle w:val="TableText"/>
              <w:spacing w:after="0" w:line="252" w:lineRule="auto"/>
            </w:pPr>
            <w:r>
              <w:rPr>
                <w:rFonts w:ascii="Calibri" w:hAnsi="Calibri"/>
                <w:color w:val="1B2633"/>
                <w:sz w:val="17"/>
              </w:rPr>
              <w:t>Wire one real path or retire the code; dormant safety-looking code is misleading.</w:t>
            </w:r>
          </w:p>
        </w:tc>
      </w:tr>
      <w:tr>
        <w:tc>
          <w:tcPr>
            <w:tcW w:type="dxa" w:w="2100"/>
            <w:shd w:fill="FFFFFF" w:val="clear"/>
          </w:tcPr>
          <w:p>
            <w:pPr>
              <w:pStyle w:val="TableText"/>
              <w:spacing w:after="0" w:line="252" w:lineRule="auto"/>
            </w:pPr>
            <w:r>
              <w:rPr>
                <w:rFonts w:ascii="Calibri" w:hAnsi="Calibri"/>
                <w:color w:val="1B2633"/>
                <w:sz w:val="17"/>
              </w:rPr>
              <w:t>Trace projection</w:t>
            </w:r>
          </w:p>
        </w:tc>
        <w:tc>
          <w:tcPr>
            <w:tcW w:type="dxa" w:w="3800"/>
            <w:shd w:fill="FFFFFF" w:val="clear"/>
          </w:tcPr>
          <w:p>
            <w:pPr>
              <w:pStyle w:val="TableText"/>
              <w:spacing w:after="0" w:line="252" w:lineRule="auto"/>
            </w:pPr>
            <w:r>
              <w:rPr>
                <w:rFonts w:ascii="Calibri" w:hAnsi="Calibri"/>
                <w:color w:val="1B2633"/>
                <w:sz w:val="17"/>
              </w:rPr>
              <w:t>Can make post-restart forensic inspection possible.</w:t>
            </w:r>
          </w:p>
        </w:tc>
        <w:tc>
          <w:tcPr>
            <w:tcW w:type="dxa" w:w="3460"/>
            <w:shd w:fill="FFFFFF" w:val="clear"/>
          </w:tcPr>
          <w:p>
            <w:pPr>
              <w:pStyle w:val="TableText"/>
              <w:spacing w:after="0" w:line="252" w:lineRule="auto"/>
            </w:pPr>
            <w:r>
              <w:rPr>
                <w:rFonts w:ascii="Calibri" w:hAnsi="Calibri"/>
                <w:color w:val="1B2633"/>
                <w:sz w:val="17"/>
              </w:rPr>
              <w:t>Persist sanitized local traces with bounded retention.</w:t>
            </w:r>
          </w:p>
        </w:tc>
      </w:tr>
      <w:tr>
        <w:tc>
          <w:tcPr>
            <w:tcW w:type="dxa" w:w="2100"/>
            <w:shd w:fill="FFFFFF" w:val="clear"/>
          </w:tcPr>
          <w:p>
            <w:pPr>
              <w:pStyle w:val="TableText"/>
              <w:spacing w:after="0" w:line="252" w:lineRule="auto"/>
            </w:pPr>
            <w:r>
              <w:rPr>
                <w:rFonts w:ascii="Calibri" w:hAnsi="Calibri"/>
                <w:color w:val="1B2633"/>
                <w:sz w:val="17"/>
              </w:rPr>
              <w:t>Evaluation history</w:t>
            </w:r>
          </w:p>
        </w:tc>
        <w:tc>
          <w:tcPr>
            <w:tcW w:type="dxa" w:w="3800"/>
            <w:shd w:fill="FFFFFF" w:val="clear"/>
          </w:tcPr>
          <w:p>
            <w:pPr>
              <w:pStyle w:val="TableText"/>
              <w:spacing w:after="0" w:line="252" w:lineRule="auto"/>
            </w:pPr>
            <w:r>
              <w:rPr>
                <w:rFonts w:ascii="Calibri" w:hAnsi="Calibri"/>
                <w:color w:val="1B2633"/>
                <w:sz w:val="17"/>
              </w:rPr>
              <w:t>Can turn printed CLI output into comparable evidence.</w:t>
            </w:r>
          </w:p>
        </w:tc>
        <w:tc>
          <w:tcPr>
            <w:tcW w:type="dxa" w:w="3460"/>
            <w:shd w:fill="FFFFFF" w:val="clear"/>
          </w:tcPr>
          <w:p>
            <w:pPr>
              <w:pStyle w:val="TableText"/>
              <w:spacing w:after="0" w:line="252" w:lineRule="auto"/>
            </w:pPr>
            <w:r>
              <w:rPr>
                <w:rFonts w:ascii="Calibri" w:hAnsi="Calibri"/>
                <w:color w:val="1B2633"/>
                <w:sz w:val="17"/>
              </w:rPr>
              <w:t>Make every evaluation write an identity-pinned history record.</w:t>
            </w:r>
          </w:p>
        </w:tc>
      </w:tr>
    </w:tbl>
    <w:p>
      <w:pPr>
        <w:pStyle w:val="SmallText"/>
        <w:spacing w:after="0"/>
      </w:pPr>
    </w:p>
    <w:p>
      <w:pPr>
        <w:pStyle w:val="Heading2"/>
      </w:pPr>
      <w:r>
        <w:t>Safety and operability risks</w:t>
      </w:r>
    </w:p>
    <w:p>
      <w:pPr>
        <w:pStyle w:val="ListBullet"/>
      </w:pPr>
      <w:r>
        <w:rPr>
          <w:rFonts w:ascii="Calibri" w:hAnsi="Calibri"/>
          <w:color w:val="1B2633"/>
          <w:sz w:val="22"/>
        </w:rPr>
        <w:t>permission_modes.py documents that interactive ask can degrade to allow for noninteractive callers. That is a poor default for unattended HTTP, MCP, Autopilot, Fleet, and remote execution.</w:t>
      </w:r>
    </w:p>
    <w:p>
      <w:pPr>
        <w:pStyle w:val="ListBullet"/>
      </w:pPr>
      <w:r>
        <w:rPr>
          <w:rFonts w:ascii="Calibri" w:hAnsi="Calibri"/>
          <w:color w:val="1B2633"/>
          <w:sz w:val="22"/>
        </w:rPr>
        <w:t>Policy guards and workspace containment are not equivalent to an OS sandbox. The deployment boundary must say this clearly and require stronger isolation for autonomous or remote effects.</w:t>
      </w:r>
    </w:p>
    <w:p>
      <w:pPr>
        <w:pStyle w:val="ListBullet"/>
      </w:pPr>
      <w:r>
        <w:rPr>
          <w:rFonts w:ascii="Calibri" w:hAnsi="Calibri"/>
          <w:color w:val="1B2633"/>
          <w:sz w:val="22"/>
        </w:rPr>
        <w:t>Receipts should be forensic evidence, not merely a redacted output log. They need policy, authority, world, provider/node identity, digests, and terminal-state information.</w:t>
      </w:r>
    </w:p>
    <w:p>
      <w:pPr>
        <w:pStyle w:val="ListBullet"/>
      </w:pPr>
      <w:r>
        <w:rPr>
          <w:rFonts w:ascii="Calibri" w:hAnsi="Calibri"/>
          <w:color w:val="1B2633"/>
          <w:sz w:val="22"/>
        </w:rPr>
        <w:t>A stale worker or crashed process must not retain effect authority after a lease changes. Fencing tokens and reconciliation need to apply across tools, jobs, fleets, and remote compute.</w:t>
      </w:r>
    </w:p>
    <w:p>
      <w:pPr>
        <w:pStyle w:val="ListBullet"/>
      </w:pPr>
      <w:r>
        <w:rPr>
          <w:rFonts w:ascii="Calibri" w:hAnsi="Calibri"/>
          <w:color w:val="1B2633"/>
          <w:sz w:val="22"/>
        </w:rPr>
        <w:t>There is no single golden regression lane covering verified success, false completion, tool safety, memory, recovery, and resource efficiency. Without it, optimization becomes anecdotal.</w:t>
      </w:r>
    </w:p>
    <w:p>
      <w:pPr/>
      <w:hyperlink r:id="rId17">
        <w:r>
          <w:rPr>
            <w:rStyle w:val="Hyperlink"/>
            <w:color w:val="2E74B5"/>
            <w:u w:val="single"/>
          </w:rPr>
          <w:t>Security model</w:t>
        </w:r>
      </w:hyperlink>
      <w:r>
        <w:rPr>
          <w:rFonts w:ascii="Calibri" w:hAnsi="Calibri"/>
          <w:color w:val="5B6573"/>
          <w:sz w:val="20"/>
        </w:rPr>
        <w:t xml:space="preserve"> - endpoint power, containment limits, and consent boundaries</w:t>
      </w:r>
    </w:p>
    <w:p>
      <w:pPr>
        <w:pStyle w:val="Heading1"/>
      </w:pPr>
      <w:r>
        <w:t>7. Strategic choices</w:t>
      </w:r>
    </w:p>
    <w:tbl>
      <w:tblPr>
        <w:tblW w:type="dxa" w:w="9360"/>
        <w:tblLayout w:type="fixed"/>
        <w:tblLook w:firstColumn="1" w:firstRow="1" w:lastColumn="0" w:lastRow="0" w:noHBand="0" w:noVBand="1" w:val="04A0"/>
        <w:tblInd w:w="120" w:type="dxa"/>
      </w:tblPr>
      <w:tblGrid>
        <w:gridCol w:w="2200"/>
        <w:gridCol w:w="4300"/>
        <w:gridCol w:w="2860"/>
      </w:tblGrid>
      <w:tr>
        <w:trPr>
          <w:tblHeader w:val="true"/>
        </w:trPr>
        <w:tc>
          <w:tcPr>
            <w:tcW w:type="dxa" w:w="2200"/>
            <w:tcMar>
              <w:top w:w="80" w:type="dxa"/>
              <w:start w:w="120" w:type="dxa"/>
              <w:bottom w:w="80" w:type="dxa"/>
              <w:end w:w="120" w:type="dxa"/>
            </w:tcMar>
            <w:vAlign w:val="center"/>
            <w:shd w:fill="F2F4F7" w:val="clear"/>
          </w:tcPr>
          <w:p>
            <w:pPr>
              <w:pStyle w:val="TableText"/>
              <w:spacing w:after="0"/>
            </w:pPr>
            <w:r>
              <w:rPr>
                <w:rFonts w:ascii="Calibri" w:hAnsi="Calibri"/>
                <w:b/>
                <w:color w:val="0B2545"/>
                <w:sz w:val="18"/>
              </w:rPr>
              <w:t>Approach</w:t>
            </w:r>
          </w:p>
        </w:tc>
        <w:tc>
          <w:tcPr>
            <w:tcW w:type="dxa" w:w="4300"/>
            <w:tcMar>
              <w:top w:w="80" w:type="dxa"/>
              <w:start w:w="120" w:type="dxa"/>
              <w:bottom w:w="80" w:type="dxa"/>
              <w:end w:w="120" w:type="dxa"/>
            </w:tcMar>
            <w:vAlign w:val="center"/>
            <w:shd w:fill="F2F4F7" w:val="clear"/>
          </w:tcPr>
          <w:p>
            <w:pPr>
              <w:pStyle w:val="TableText"/>
              <w:spacing w:after="0"/>
            </w:pPr>
            <w:r>
              <w:rPr>
                <w:rFonts w:ascii="Calibri" w:hAnsi="Calibri"/>
                <w:b/>
                <w:color w:val="0B2545"/>
                <w:sz w:val="18"/>
              </w:rPr>
              <w:t>What it would do</w:t>
            </w:r>
          </w:p>
        </w:tc>
        <w:tc>
          <w:tcPr>
            <w:tcW w:type="dxa" w:w="2860"/>
            <w:tcMar>
              <w:top w:w="80" w:type="dxa"/>
              <w:start w:w="120" w:type="dxa"/>
              <w:bottom w:w="80" w:type="dxa"/>
              <w:end w:w="120" w:type="dxa"/>
            </w:tcMar>
            <w:vAlign w:val="center"/>
            <w:shd w:fill="F2F4F7" w:val="clear"/>
          </w:tcPr>
          <w:p>
            <w:pPr>
              <w:pStyle w:val="TableText"/>
              <w:spacing w:after="0"/>
            </w:pPr>
            <w:r>
              <w:rPr>
                <w:rFonts w:ascii="Calibri" w:hAnsi="Calibri"/>
                <w:b/>
                <w:color w:val="0B2545"/>
                <w:sz w:val="18"/>
              </w:rPr>
              <w:t>Assessment</w:t>
            </w:r>
          </w:p>
        </w:tc>
      </w:tr>
      <w:tr>
        <w:tc>
          <w:tcPr>
            <w:tcW w:type="dxa" w:w="2200"/>
            <w:shd w:fill="FFFFFF" w:val="clear"/>
          </w:tcPr>
          <w:p>
            <w:pPr>
              <w:pStyle w:val="TableText"/>
              <w:spacing w:after="0" w:line="252" w:lineRule="auto"/>
            </w:pPr>
            <w:r>
              <w:rPr>
                <w:rFonts w:ascii="Calibri" w:hAnsi="Calibri"/>
                <w:color w:val="1B2633"/>
                <w:sz w:val="18"/>
              </w:rPr>
              <w:t>Feature-first</w:t>
            </w:r>
          </w:p>
        </w:tc>
        <w:tc>
          <w:tcPr>
            <w:tcW w:type="dxa" w:w="4300"/>
            <w:shd w:fill="FFFFFF" w:val="clear"/>
          </w:tcPr>
          <w:p>
            <w:pPr>
              <w:pStyle w:val="TableText"/>
              <w:spacing w:after="0" w:line="252" w:lineRule="auto"/>
            </w:pPr>
            <w:r>
              <w:rPr>
                <w:rFonts w:ascii="Calibri" w:hAnsi="Calibri"/>
                <w:color w:val="1B2633"/>
                <w:sz w:val="18"/>
              </w:rPr>
              <w:t>Add more agents, models, plugins, training, and distributed execution.</w:t>
            </w:r>
          </w:p>
        </w:tc>
        <w:tc>
          <w:tcPr>
            <w:tcW w:type="dxa" w:w="2860"/>
            <w:shd w:fill="FFFFFF" w:val="clear"/>
          </w:tcPr>
          <w:p>
            <w:pPr>
              <w:pStyle w:val="TableText"/>
              <w:spacing w:after="0" w:line="252" w:lineRule="auto"/>
            </w:pPr>
            <w:r>
              <w:rPr>
                <w:rFonts w:ascii="Calibri" w:hAnsi="Calibri"/>
                <w:color w:val="1B2633"/>
                <w:sz w:val="18"/>
              </w:rPr>
              <w:t>Reject for now: expands the surface without proving better outcomes.</w:t>
            </w:r>
          </w:p>
        </w:tc>
      </w:tr>
      <w:tr>
        <w:tc>
          <w:tcPr>
            <w:tcW w:type="dxa" w:w="2200"/>
            <w:shd w:fill="FFFFFF" w:val="clear"/>
          </w:tcPr>
          <w:p>
            <w:pPr>
              <w:pStyle w:val="TableText"/>
              <w:spacing w:after="0" w:line="252" w:lineRule="auto"/>
            </w:pPr>
            <w:r>
              <w:rPr>
                <w:rFonts w:ascii="Calibri" w:hAnsi="Calibri"/>
                <w:color w:val="1B2633"/>
                <w:sz w:val="18"/>
              </w:rPr>
              <w:t>Big-bang rewrite</w:t>
            </w:r>
          </w:p>
        </w:tc>
        <w:tc>
          <w:tcPr>
            <w:tcW w:type="dxa" w:w="4300"/>
            <w:shd w:fill="FFFFFF" w:val="clear"/>
          </w:tcPr>
          <w:p>
            <w:pPr>
              <w:pStyle w:val="TableText"/>
              <w:spacing w:after="0" w:line="252" w:lineRule="auto"/>
            </w:pPr>
            <w:r>
              <w:rPr>
                <w:rFonts w:ascii="Calibri" w:hAnsi="Calibri"/>
                <w:color w:val="1B2633"/>
                <w:sz w:val="18"/>
              </w:rPr>
              <w:t>Replace server.py and compatibility paths in one architectural change.</w:t>
            </w:r>
          </w:p>
        </w:tc>
        <w:tc>
          <w:tcPr>
            <w:tcW w:type="dxa" w:w="2860"/>
            <w:shd w:fill="FFFFFF" w:val="clear"/>
          </w:tcPr>
          <w:p>
            <w:pPr>
              <w:pStyle w:val="TableText"/>
              <w:spacing w:after="0" w:line="252" w:lineRule="auto"/>
            </w:pPr>
            <w:r>
              <w:rPr>
                <w:rFonts w:ascii="Calibri" w:hAnsi="Calibri"/>
                <w:color w:val="1B2633"/>
                <w:sz w:val="18"/>
              </w:rPr>
              <w:t>Reject: high compatibility, migration, and security risk.</w:t>
            </w:r>
          </w:p>
        </w:tc>
      </w:tr>
      <w:tr>
        <w:tc>
          <w:tcPr>
            <w:tcW w:type="dxa" w:w="2200"/>
            <w:shd w:fill="FFFFFF" w:val="clear"/>
          </w:tcPr>
          <w:p>
            <w:pPr>
              <w:pStyle w:val="TableText"/>
              <w:spacing w:after="0" w:line="252" w:lineRule="auto"/>
            </w:pPr>
            <w:r>
              <w:rPr>
                <w:rFonts w:ascii="Calibri" w:hAnsi="Calibri"/>
                <w:color w:val="1B2633"/>
                <w:sz w:val="18"/>
              </w:rPr>
              <w:t>Evidence-first strangler migration</w:t>
            </w:r>
          </w:p>
        </w:tc>
        <w:tc>
          <w:tcPr>
            <w:tcW w:type="dxa" w:w="4300"/>
            <w:shd w:fill="FFFFFF" w:val="clear"/>
          </w:tcPr>
          <w:p>
            <w:pPr>
              <w:pStyle w:val="TableText"/>
              <w:spacing w:after="0" w:line="252" w:lineRule="auto"/>
            </w:pPr>
            <w:r>
              <w:rPr>
                <w:rFonts w:ascii="Calibri" w:hAnsi="Calibri"/>
                <w:color w:val="1B2633"/>
                <w:sz w:val="18"/>
              </w:rPr>
              <w:t>Establish safety/evaluation, migrate complete vertical slices, preserve contracts, then remove duplicates.</w:t>
            </w:r>
          </w:p>
        </w:tc>
        <w:tc>
          <w:tcPr>
            <w:tcW w:type="dxa" w:w="2860"/>
            <w:shd w:fill="FFFFFF" w:val="clear"/>
          </w:tcPr>
          <w:p>
            <w:pPr>
              <w:pStyle w:val="TableText"/>
              <w:spacing w:after="0" w:line="252" w:lineRule="auto"/>
            </w:pPr>
            <w:r>
              <w:rPr>
                <w:rFonts w:ascii="Calibri" w:hAnsi="Calibri"/>
                <w:color w:val="1B2633"/>
                <w:sz w:val="18"/>
              </w:rPr>
              <w:t>Recommended: improves safety, clarity, and capability at the same time.</w:t>
            </w:r>
          </w:p>
        </w:tc>
      </w:tr>
    </w:tbl>
    <w:p>
      <w:pPr>
        <w:pStyle w:val="SmallText"/>
        <w:spacing w:after="0"/>
      </w:pPr>
    </w:p>
    <w:p>
      <w:pPr>
        <w:pStyle w:val="CalloutText"/>
        <w:spacing w:before="80" w:after="0"/>
        <w:ind w:left="173" w:right="173"/>
        <w:shd w:fill="FFF8E8" w:val="clear"/>
        <w:pBdr>
          <w:left w:val="single" w:sz="18" w:space="6" w:color="2E74B5"/>
        </w:pBdr>
      </w:pPr>
      <w:r>
        <w:rPr>
          <w:rFonts w:ascii="Calibri" w:hAnsi="Calibri"/>
          <w:b/>
          <w:color w:val="7A5A00"/>
          <w:sz w:val="21"/>
        </w:rPr>
        <w:t xml:space="preserve">NORTH STAR  </w:t>
      </w:r>
      <w:r>
        <w:rPr>
          <w:rFonts w:ascii="Calibri" w:hAnsi="Calibri"/>
          <w:color w:val="1B2633"/>
          <w:sz w:val="21"/>
        </w:rPr>
        <w:t>Maximize verified useful work per unit of token, time, and risk, subject to zero unauthorized effects and no privacy egress without consent. Do not reduce this to one agent-IQ score.</w:t>
      </w:r>
    </w:p>
    <w:p>
      <w:pPr>
        <w:pStyle w:val="Heading1"/>
        <w:pageBreakBefore/>
      </w:pPr>
      <w:r>
        <w:t>8. Recommended improvement roadmap</w:t>
      </w:r>
    </w:p>
    <w:p>
      <w:pPr>
        <w:pStyle w:val="Heading2"/>
      </w:pPr>
      <w:r>
        <w:t>Priority 0 - make unattended authority explicit</w:t>
      </w:r>
    </w:p>
    <w:p>
      <w:pPr/>
      <w:r>
        <w:rPr>
          <w:rFonts w:ascii="Calibri" w:hAnsi="Calibri"/>
          <w:color w:val="1B2633"/>
          <w:sz w:val="22"/>
        </w:rPr>
        <w:t>Change the meaning of an unattended ask. A caller with nobody available to answer should not receive an implicit approval for an effectful operation. Preserve explicit auto mode and explicit allow rules, but make the authority visible and scoped.</w:t>
      </w:r>
    </w:p>
    <w:p>
      <w:pPr>
        <w:pStyle w:val="CodeBlock"/>
        <w:keepLines/>
        <w:spacing w:before="80" w:after="100"/>
        <w:ind w:left="115" w:right="115"/>
        <w:shd w:fill="F2F4F7" w:val="clear"/>
      </w:pPr>
      <w:r>
        <w:rPr>
          <w:rFonts w:ascii="Consolas" w:hAnsi="Consolas"/>
          <w:color w:val="263238"/>
          <w:sz w:val="18"/>
        </w:rPr>
        <w:t>CapabilityGrant(\n    principal, source, project, workspace_roots,\n    tools, effect_classes, provider, execution_world,\n    expires_at, nonce, max_calls, token_budget, byte_budget\n)</w:t>
      </w:r>
    </w:p>
    <w:p>
      <w:pPr/>
      <w:r>
        <w:rPr>
          <w:rFonts w:ascii="Calibri" w:hAnsi="Calibri"/>
          <w:color w:val="1B2633"/>
          <w:sz w:val="22"/>
        </w:rPr>
        <w:t>Every model gateway, tool gateway, fleet worker, and compute dispatcher should validate the same grant. Grants must be non-transferable, expiring, bounded, and unable to widen their own scope.</w:t>
      </w:r>
    </w:p>
    <w:p>
      <w:pPr>
        <w:pStyle w:val="ListBullet"/>
      </w:pPr>
      <w:r>
        <w:rPr>
          <w:rFonts w:ascii="Calibri" w:hAnsi="Calibri"/>
          <w:color w:val="1B2633"/>
          <w:sz w:val="22"/>
        </w:rPr>
        <w:t>A mutation arriving through HTTP, MCP, REPL, Autopilot, Fleet, or direct tools is refused without a matching grant.</w:t>
      </w:r>
    </w:p>
    <w:p>
      <w:pPr>
        <w:pStyle w:val="ListBullet"/>
      </w:pPr>
      <w:r>
        <w:rPr>
          <w:rFonts w:ascii="Calibri" w:hAnsi="Calibri"/>
          <w:color w:val="1B2633"/>
          <w:sz w:val="22"/>
        </w:rPr>
        <w:t>A grant cannot be replayed, moved to another project, or used by another principal/provider.</w:t>
      </w:r>
    </w:p>
    <w:p>
      <w:pPr>
        <w:pStyle w:val="ListBullet"/>
      </w:pPr>
      <w:r>
        <w:rPr>
          <w:rFonts w:ascii="Calibri" w:hAnsi="Calibri"/>
          <w:color w:val="1B2633"/>
          <w:sz w:val="22"/>
        </w:rPr>
        <w:t>A remote or autonomous effect cannot silently fall back to host execution when its required execution world is unavailable.</w:t>
      </w:r>
    </w:p>
    <w:p>
      <w:pPr>
        <w:pStyle w:val="ListBullet"/>
      </w:pPr>
      <w:r>
        <w:rPr>
          <w:rFonts w:ascii="Calibri" w:hAnsi="Calibri"/>
          <w:color w:val="1B2633"/>
          <w:sz w:val="22"/>
        </w:rPr>
        <w:t>Tests cover the permission matrix across every entry surface, not only one gateway.</w:t>
      </w:r>
    </w:p>
    <w:p>
      <w:pPr>
        <w:pStyle w:val="Heading2"/>
      </w:pPr>
      <w:r>
        <w:t>Priority 0 - establish a golden evaluation and replay lane</w:t>
      </w:r>
    </w:p>
    <w:p>
      <w:pPr/>
      <w:r>
        <w:rPr>
          <w:rFonts w:ascii="Calibri" w:hAnsi="Calibri"/>
          <w:color w:val="1B2633"/>
          <w:sz w:val="22"/>
        </w:rPr>
        <w:t>Define a versioned task contract and make every evaluation run produce an immutable trajectory record. Start with a small corpus of deterministic tasks, repository tasks, memory tasks, tool-policy refusals, and recovery cases.</w:t>
      </w:r>
    </w:p>
    <w:p>
      <w:pPr>
        <w:pStyle w:val="CodeBlock"/>
        <w:keepLines/>
        <w:spacing w:before="80" w:after="100"/>
        <w:ind w:left="115" w:right="115"/>
        <w:shd w:fill="F2F4F7" w:val="clear"/>
      </w:pPr>
      <w:r>
        <w:rPr>
          <w:rFonts w:ascii="Consolas" w:hAnsi="Consolas"/>
          <w:color w:val="263238"/>
          <w:sz w:val="18"/>
        </w:rPr>
        <w:t>TaskContract(\n    objective, workspace_revision, allowed_tools, allowed_roots,\n    required_verifiers, token_budget, time_budget_seconds\n)\n\nRun record:\n    task contract, model/provider/tier, prompt manifest, memory IDs,\n    tool calls/receipts, artifact digests, verifier outputs,\n    terminal reason, tokens, latency, resources, environment identity</w:t>
      </w:r>
    </w:p>
    <w:p>
      <w:pPr/>
      <w:r>
        <w:rPr>
          <w:rFonts w:ascii="Calibri" w:hAnsi="Calibri"/>
          <w:color w:val="1B2633"/>
          <w:sz w:val="22"/>
        </w:rPr>
        <w:t>The evaluation lane should distinguish verified pass, verified fail, verifier unavailable, abandoned, unknown, and infrastructure error. Model-graded scores can be diagnostic but should never become promotion gates merely because a model declared them reliable.</w:t>
      </w:r>
    </w:p>
    <w:p>
      <w:pPr>
        <w:pStyle w:val="ListBullet"/>
      </w:pPr>
      <w:r>
        <w:rPr>
          <w:rFonts w:ascii="Calibri" w:hAnsi="Calibri"/>
          <w:color w:val="1B2633"/>
          <w:sz w:val="22"/>
        </w:rPr>
        <w:t>A deliberately broken artifact produces a deterministic RED result.</w:t>
      </w:r>
    </w:p>
    <w:p>
      <w:pPr>
        <w:pStyle w:val="ListBullet"/>
      </w:pPr>
      <w:r>
        <w:rPr>
          <w:rFonts w:ascii="Calibri" w:hAnsi="Calibri"/>
          <w:color w:val="1B2633"/>
          <w:sz w:val="22"/>
        </w:rPr>
        <w:t>Repeated trials retain all raw outcomes and report pass@1 and pass@k separately.</w:t>
      </w:r>
    </w:p>
    <w:p>
      <w:pPr>
        <w:pStyle w:val="ListBullet"/>
      </w:pPr>
      <w:r>
        <w:rPr>
          <w:rFonts w:ascii="Calibri" w:hAnsi="Calibri"/>
          <w:color w:val="1B2633"/>
          <w:sz w:val="22"/>
        </w:rPr>
        <w:t>Running an evaluation twice produces a machine-readable diff and survives restart.</w:t>
      </w:r>
    </w:p>
    <w:p>
      <w:pPr>
        <w:pStyle w:val="ListBullet"/>
      </w:pPr>
      <w:r>
        <w:rPr>
          <w:rFonts w:ascii="Calibri" w:hAnsi="Calibri"/>
          <w:color w:val="1B2633"/>
          <w:sz w:val="22"/>
        </w:rPr>
        <w:t>No routing, prompt, memory, skill, or training change is promoted without a frozen replay and holdout comparison.</w:t>
      </w:r>
    </w:p>
    <w:p>
      <w:pPr>
        <w:pStyle w:val="Heading2"/>
      </w:pPr>
      <w:r>
        <w:t>Priority 1 - complete one authoritative runtime spine</w:t>
      </w:r>
    </w:p>
    <w:p>
      <w:pPr>
        <w:pStyle w:val="CodeBlock"/>
        <w:keepLines/>
        <w:spacing w:before="80" w:after="100"/>
        <w:ind w:left="115" w:right="115"/>
        <w:shd w:fill="F2F4F7" w:val="clear"/>
      </w:pPr>
      <w:r>
        <w:rPr>
          <w:rFonts w:ascii="Consolas" w:hAnsi="Consolas"/>
          <w:color w:val="263238"/>
          <w:sz w:val="18"/>
        </w:rPr>
        <w:t>Session event log\n    -&gt; Context / prompt assembly\n    -&gt; Conversation or agent turn\n    -&gt; Model gateway\n    -&gt; Tool gateway\n    -&gt; Receipts, events, telemetry, outcomes, projections</w:t>
      </w:r>
    </w:p>
    <w:p>
      <w:pPr/>
      <w:r>
        <w:rPr>
          <w:rFonts w:ascii="Calibri" w:hAnsi="Calibri"/>
          <w:color w:val="1B2633"/>
          <w:sz w:val="22"/>
        </w:rPr>
        <w:t>Use this ownership rule: Application owns lifecycle and composition; interfaces translate protocols; application services own use-case ordering; tools own authorization and execution; adapters own I/O; domain code remains pure.</w:t>
      </w:r>
    </w:p>
    <w:p>
      <w:pPr>
        <w:pStyle w:val="Heading3"/>
      </w:pPr>
      <w:r>
        <w:t>Vertical slice 1: workbench and file tools</w:t>
      </w:r>
    </w:p>
    <w:p>
      <w:pPr/>
      <w:r>
        <w:rPr>
          <w:rFonts w:ascii="Calibri" w:hAnsi="Calibri"/>
          <w:color w:val="1B2633"/>
          <w:sz w:val="22"/>
        </w:rPr>
        <w:t>Make the typed registry and ToolService authoritative for one coherent tool family. Keep containment and destructive-operation logic in file_ops.py. Legacy handlers become compatibility forwards.</w:t>
      </w:r>
    </w:p>
    <w:p>
      <w:pPr>
        <w:pStyle w:val="ListBullet"/>
      </w:pPr>
      <w:r>
        <w:rPr>
          <w:rFonts w:ascii="Calibri" w:hAnsi="Calibri"/>
          <w:color w:val="1B2633"/>
          <w:sz w:val="22"/>
        </w:rPr>
        <w:t>Native and legacy schemas, refusals, receipts, and redacted output agree.</w:t>
      </w:r>
    </w:p>
    <w:p>
      <w:pPr>
        <w:pStyle w:val="ListBullet"/>
      </w:pPr>
      <w:r>
        <w:rPr>
          <w:rFonts w:ascii="Calibri" w:hAnsi="Calibri"/>
          <w:color w:val="1B2633"/>
          <w:sz w:val="22"/>
        </w:rPr>
        <w:t>No migrated interface directly dispatches through legacy workbench/file implementations.</w:t>
      </w:r>
    </w:p>
    <w:p>
      <w:pPr>
        <w:pStyle w:val="ListBullet"/>
      </w:pPr>
      <w:r>
        <w:rPr>
          <w:rFonts w:ascii="Calibri" w:hAnsi="Calibri"/>
          <w:color w:val="1B2633"/>
          <w:sz w:val="22"/>
        </w:rPr>
        <w:t>Generated catalogs become the published manifest for the migrated group.</w:t>
      </w:r>
    </w:p>
    <w:p>
      <w:pPr>
        <w:pStyle w:val="Heading3"/>
      </w:pPr>
      <w:r>
        <w:t>Vertical slice 2: conversation/session/memory turn</w:t>
      </w:r>
    </w:p>
    <w:p>
      <w:pPr/>
      <w:r>
        <w:rPr>
          <w:rFonts w:ascii="Calibri" w:hAnsi="Calibri"/>
          <w:color w:val="1B2633"/>
          <w:sz w:val="22"/>
        </w:rPr>
        <w:t>Introduce a ConversationTurnService that owns routing, context, model call, session events, memory interaction identity, activity projection, compaction, and outcome ordering. HTTP, MCP, REPL, and legacy facades invoke it.</w:t>
      </w:r>
    </w:p>
    <w:p>
      <w:pPr>
        <w:pStyle w:val="ListBullet"/>
      </w:pPr>
      <w:r>
        <w:rPr>
          <w:rFonts w:ascii="Calibri" w:hAnsi="Calibri"/>
          <w:color w:val="1B2633"/>
          <w:sz w:val="22"/>
        </w:rPr>
        <w:t>A deterministic fake-model turn can be replayed equivalently through HTTP, MCP, and compatibility paths.</w:t>
      </w:r>
    </w:p>
    <w:p>
      <w:pPr>
        <w:pStyle w:val="ListBullet"/>
      </w:pPr>
      <w:r>
        <w:rPr>
          <w:rFonts w:ascii="Calibri" w:hAnsi="Calibri"/>
          <w:color w:val="1B2633"/>
          <w:sz w:val="22"/>
        </w:rPr>
        <w:t>A successful turn creates one coherent session sequence, one interaction identity, one trace, and one outcome slot.</w:t>
      </w:r>
    </w:p>
    <w:p>
      <w:pPr>
        <w:pStyle w:val="ListBullet"/>
      </w:pPr>
      <w:r>
        <w:rPr>
          <w:rFonts w:ascii="Calibri" w:hAnsi="Calibri"/>
          <w:color w:val="1B2633"/>
          <w:sz w:val="22"/>
        </w:rPr>
        <w:t>Expired, cancelled, and failed turns have tested partial-write behavior.</w:t>
      </w:r>
    </w:p>
    <w:p>
      <w:pPr>
        <w:pStyle w:val="Heading3"/>
      </w:pPr>
      <w:r>
        <w:t>Vertical slice 3: agent, Fleet, and Autopilot execution</w:t>
      </w:r>
    </w:p>
    <w:p>
      <w:pPr/>
      <w:r>
        <w:rPr>
          <w:rFonts w:ascii="Calibri" w:hAnsi="Calibri"/>
          <w:color w:val="1B2633"/>
          <w:sz w:val="22"/>
        </w:rPr>
        <w:t>After tools and conversation turns share typed boundaries, introduce an AgentRunService that owns the model/tool loop, terminal state, lineage, cancellation, budgets, and workflow persistence. Existing controllers become adapters or collaborators rather than alternate loops.</w:t>
      </w:r>
    </w:p>
    <w:p>
      <w:pPr>
        <w:pStyle w:val="ListBullet"/>
      </w:pPr>
      <w:r>
        <w:rPr>
          <w:rFonts w:ascii="Calibri" w:hAnsi="Calibri"/>
          <w:color w:val="1B2633"/>
          <w:sz w:val="22"/>
        </w:rPr>
        <w:t>No agent path can invoke a host tool except through the common typed gateway.</w:t>
      </w:r>
    </w:p>
    <w:p>
      <w:pPr>
        <w:pStyle w:val="ListBullet"/>
      </w:pPr>
      <w:r>
        <w:rPr>
          <w:rFonts w:ascii="Calibri" w:hAnsi="Calibri"/>
          <w:color w:val="1B2633"/>
          <w:sz w:val="22"/>
        </w:rPr>
        <w:t>A stale or cancelled worker cannot execute a later proposal.</w:t>
      </w:r>
    </w:p>
    <w:p>
      <w:pPr>
        <w:pStyle w:val="ListBullet"/>
      </w:pPr>
      <w:r>
        <w:rPr>
          <w:rFonts w:ascii="Calibri" w:hAnsi="Calibri"/>
          <w:color w:val="1B2633"/>
          <w:sz w:val="22"/>
        </w:rPr>
        <w:t>Restart recovery does not revive cancelled or uncertain work silently.</w:t>
      </w:r>
    </w:p>
    <w:p>
      <w:pPr>
        <w:pStyle w:val="Heading2"/>
      </w:pPr>
      <w:r>
        <w:t>Priority 1 - shadow context and memory improvements</w:t>
      </w:r>
    </w:p>
    <w:p>
      <w:pPr/>
      <w:r>
        <w:rPr>
          <w:rFonts w:ascii="Calibri" w:hAnsi="Calibri"/>
          <w:color w:val="1B2633"/>
          <w:sz w:val="22"/>
        </w:rPr>
        <w:t>Run the section-budgeted context planner beside the live prompt builder. Log selected sections, token costs, protected items, evictions, omissions, duplicates, and divergence. Do not cut over until a replay shows lower overflow or cost without a verified-success regression.</w:t>
      </w:r>
    </w:p>
    <w:p>
      <w:pPr/>
      <w:r>
        <w:rPr>
          <w:rFonts w:ascii="Calibri" w:hAnsi="Calibri"/>
          <w:color w:val="1B2633"/>
          <w:sz w:val="22"/>
        </w:rPr>
        <w:t>Run lesson decay and contradiction detection in shadow mode. Compare no-memory, current-memory, and candidate-memory runs under the same task, model, and context budget. Measure relevance, stale injection, contradiction, verified-success lift, and marginal value per injected token.</w:t>
      </w:r>
    </w:p>
    <w:p>
      <w:pPr>
        <w:pStyle w:val="Heading2"/>
      </w:pPr>
      <w:r>
        <w:t>Priority 1 - budgets, routing, and stopping</w:t>
      </w:r>
    </w:p>
    <w:p>
      <w:pPr/>
      <w:r>
        <w:rPr>
          <w:rFonts w:ascii="Calibri" w:hAnsi="Calibri"/>
          <w:color w:val="1B2633"/>
          <w:sz w:val="22"/>
        </w:rPr>
        <w:t>Turn token, time, output-byte, tool-call, child-agent, concurrency, and sandbox limits into enforcement points. Budget exhaustion must be a terminal state distinct from failure.</w:t>
      </w:r>
    </w:p>
    <w:p>
      <w:pPr/>
      <w:r>
        <w:rPr>
          <w:rFonts w:ascii="Calibri" w:hAnsi="Calibri"/>
          <w:color w:val="1B2633"/>
          <w:sz w:val="22"/>
        </w:rPr>
        <w:t>Route using pre-call task features and held-out conditional performance, not global claims about the best model. Preserve hard consent constraints. Stop based on observable verification value, repeated failure signatures, remaining budget, and available escalation - not model self-confidence.</w:t>
      </w:r>
    </w:p>
    <w:p>
      <w:pPr>
        <w:pStyle w:val="ListBullet"/>
      </w:pPr>
      <w:r>
        <w:rPr>
          <w:rFonts w:ascii="Calibri" w:hAnsi="Calibri"/>
          <w:color w:val="1B2633"/>
          <w:sz w:val="22"/>
        </w:rPr>
        <w:t>Allow one materially different repair attempt after an observed failure; then verify, escalate, or block.</w:t>
      </w:r>
    </w:p>
    <w:p>
      <w:pPr>
        <w:pStyle w:val="ListBullet"/>
      </w:pPr>
      <w:r>
        <w:rPr>
          <w:rFonts w:ascii="Calibri" w:hAnsi="Calibri"/>
          <w:color w:val="1B2633"/>
          <w:sz w:val="22"/>
        </w:rPr>
        <w:t>Use explicit terminal reasons: verified_complete, blocked_missing_input, verifier_failed, budget_exhausted, repeated_no_progress, policy_denied, dependency_unavailable, user_cancelled, execution_uncertain.</w:t>
      </w:r>
    </w:p>
    <w:p>
      <w:pPr>
        <w:pStyle w:val="Heading2"/>
      </w:pPr>
      <w:r>
        <w:t>Priority 2 - receipts, reconciliation, fencing, and remote trust</w:t>
      </w:r>
    </w:p>
    <w:p>
      <w:pPr/>
      <w:r>
        <w:rPr>
          <w:rFonts w:ascii="Calibri" w:hAnsi="Calibri"/>
          <w:color w:val="1B2633"/>
          <w:sz w:val="22"/>
        </w:rPr>
        <w:t>Make durable receipts mandatory for mutation, execution, egress, and remote jobs. Store bounded metadata and digests rather than raw prompts, secrets, or full workspace contents.</w:t>
      </w:r>
    </w:p>
    <w:p>
      <w:pPr>
        <w:pStyle w:val="CodeBlock"/>
        <w:keepLines/>
        <w:spacing w:before="80" w:after="100"/>
        <w:ind w:left="115" w:right="115"/>
        <w:shd w:fill="F2F4F7" w:val="clear"/>
      </w:pPr>
      <w:r>
        <w:rPr>
          <w:rFonts w:ascii="Consolas" w:hAnsi="Consolas"/>
          <w:color w:val="263238"/>
          <w:sz w:val="18"/>
        </w:rPr>
        <w:t>intent recorded\n    -&gt; authority consumed\n    -&gt; execution started\n    -&gt; external effect observed\n    -&gt; terminal state</w:t>
      </w:r>
    </w:p>
    <w:p>
      <w:pPr/>
      <w:r>
        <w:rPr>
          <w:rFonts w:ascii="Calibri" w:hAnsi="Calibri"/>
          <w:color w:val="1B2633"/>
          <w:sz w:val="22"/>
        </w:rPr>
        <w:t>After a crash, reconcile uncertain effects; never claim exactly-once semantics where the underlying provider cannot provide them. Add fencing tokens to Autopilot, Fleet, tools, subprocess jobs, and compute jobs. Strengthen private-node identity with per-node credentials or mutual TLS, signed receipts, catalog digests, and data classification.</w:t>
      </w:r>
    </w:p>
    <w:p>
      <w:pPr>
        <w:pStyle w:val="Heading2"/>
      </w:pPr>
      <w:r>
        <w:t>Priority 3 - training</w:t>
      </w:r>
    </w:p>
    <w:p>
      <w:pPr/>
      <w:r>
        <w:rPr>
          <w:rFonts w:ascii="Calibri" w:hAnsi="Calibri"/>
          <w:color w:val="1B2633"/>
          <w:sz w:val="22"/>
        </w:rPr>
        <w:t>Treat adapter training as the last consumer of the loop. Train only on provenance-backed positives that survive label review and held-out evaluation. Compare base and candidate behavior on tool adherence, verified success, safe stopping, retrieval interaction, false completion, and regressions by task family. Keep promotion attended, digest-bound, reversible, and rollback-capable.</w:t>
      </w:r>
    </w:p>
    <w:p>
      <w:pPr>
        <w:pStyle w:val="Heading1"/>
        <w:pageBreakBefore/>
      </w:pPr>
      <w:r>
        <w:t>9. Metrics and promotion gates</w:t>
      </w:r>
    </w:p>
    <w:p>
      <w:pPr/>
      <w:r>
        <w:rPr>
          <w:rFonts w:ascii="Calibri" w:hAnsi="Calibri"/>
          <w:color w:val="1B2633"/>
          <w:sz w:val="22"/>
        </w:rPr>
        <w:t>Use a vector of separately reported metrics rather than a single intelligence score:</w:t>
      </w:r>
    </w:p>
    <w:p>
      <w:pPr>
        <w:pStyle w:val="CodeBlock"/>
        <w:keepLines/>
        <w:spacing w:before="80" w:after="100"/>
        <w:ind w:left="115" w:right="115"/>
        <w:shd w:fill="F2F4F7" w:val="clear"/>
      </w:pPr>
      <w:r>
        <w:rPr>
          <w:rFonts w:ascii="Consolas" w:hAnsi="Consolas"/>
          <w:color w:val="263238"/>
          <w:sz w:val="18"/>
        </w:rPr>
        <w:t>V = verified_successes / eligible_runs\nF = claimed_complete_but_verification_failed / claimed_completions\nE_tokens = verified_successes / tokens_consumed\nH_memory = P(success | memory) - P(success | no_memory)\nH_harmful = P(candidate_retrieval loses to no_memory baseline)</w:t>
      </w:r>
    </w:p>
    <w:p>
      <w:pPr/>
      <w:r>
        <w:rPr>
          <w:rFonts w:ascii="Calibri" w:hAnsi="Calibri"/>
          <w:color w:val="1B2633"/>
          <w:sz w:val="22"/>
        </w:rPr>
        <w:t>A candidate policy is eligible for promotion only if it remains non-inferior on correctness and safety:</w:t>
      </w:r>
    </w:p>
    <w:p>
      <w:pPr>
        <w:pStyle w:val="CodeBlock"/>
        <w:keepLines/>
        <w:spacing w:before="80" w:after="100"/>
        <w:ind w:left="115" w:right="115"/>
        <w:shd w:fill="F2F4F7" w:val="clear"/>
      </w:pPr>
      <w:r>
        <w:rPr>
          <w:rFonts w:ascii="Consolas" w:hAnsi="Consolas"/>
          <w:color w:val="263238"/>
          <w:sz w:val="18"/>
        </w:rPr>
        <w:t>V_candidate &gt;= V_baseline - epsilon\nF_candidate &lt;= F_baseline\nP_candidate &lt;= P_baseline\n\nThen compare tokens, latency, cost, and resource use.</w:t>
      </w:r>
    </w:p>
    <w:p>
      <w:pPr/>
      <w:r>
        <w:rPr>
          <w:rFonts w:ascii="Calibri" w:hAnsi="Calibri"/>
          <w:color w:val="1B2633"/>
          <w:sz w:val="22"/>
        </w:rPr>
        <w:t>Every metric must be sliced by task family, model/tier, lane, context size, memory policy, and execution world. Keep the raw trajectory and evidence so aggregate numbers can be audited.</w:t>
      </w:r>
    </w:p>
    <w:tbl>
      <w:tblPr>
        <w:tblW w:type="dxa" w:w="9660"/>
        <w:tblLayout w:type="fixed"/>
        <w:tblLook w:firstColumn="1" w:firstRow="1" w:lastColumn="0" w:lastRow="0" w:noHBand="0" w:noVBand="1" w:val="04A0"/>
        <w:tblInd w:w="120" w:type="dxa"/>
      </w:tblPr>
      <w:tblGrid>
        <w:gridCol w:w="1900"/>
        <w:gridCol w:w="4300"/>
        <w:gridCol w:w="3460"/>
      </w:tblGrid>
      <w:tr>
        <w:trPr>
          <w:tblHeader w:val="true"/>
        </w:trPr>
        <w:tc>
          <w:tcPr>
            <w:tcW w:type="dxa" w:w="19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Metric family</w:t>
            </w:r>
          </w:p>
        </w:tc>
        <w:tc>
          <w:tcPr>
            <w:tcW w:type="dxa" w:w="430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What it answers</w:t>
            </w:r>
          </w:p>
        </w:tc>
        <w:tc>
          <w:tcPr>
            <w:tcW w:type="dxa" w:w="3460"/>
            <w:tcMar>
              <w:top w:w="80" w:type="dxa"/>
              <w:start w:w="120" w:type="dxa"/>
              <w:bottom w:w="80" w:type="dxa"/>
              <w:end w:w="120" w:type="dxa"/>
            </w:tcMar>
            <w:vAlign w:val="center"/>
            <w:shd w:fill="F2F4F7" w:val="clear"/>
          </w:tcPr>
          <w:p>
            <w:pPr>
              <w:pStyle w:val="TableText"/>
              <w:spacing w:after="0"/>
            </w:pPr>
            <w:r>
              <w:rPr>
                <w:rFonts w:ascii="Calibri" w:hAnsi="Calibri"/>
                <w:b/>
                <w:color w:val="0B2545"/>
                <w:sz w:val="17"/>
              </w:rPr>
              <w:t>Do not collapse with</w:t>
            </w:r>
          </w:p>
        </w:tc>
      </w:tr>
      <w:tr>
        <w:tc>
          <w:tcPr>
            <w:tcW w:type="dxa" w:w="1900"/>
            <w:shd w:fill="FFFFFF" w:val="clear"/>
          </w:tcPr>
          <w:p>
            <w:pPr>
              <w:pStyle w:val="TableText"/>
              <w:spacing w:after="0" w:line="252" w:lineRule="auto"/>
            </w:pPr>
            <w:r>
              <w:rPr>
                <w:rFonts w:ascii="Calibri" w:hAnsi="Calibri"/>
                <w:color w:val="1B2633"/>
                <w:sz w:val="17"/>
              </w:rPr>
              <w:t>Correctness</w:t>
            </w:r>
          </w:p>
        </w:tc>
        <w:tc>
          <w:tcPr>
            <w:tcW w:type="dxa" w:w="4300"/>
            <w:shd w:fill="FFFFFF" w:val="clear"/>
          </w:tcPr>
          <w:p>
            <w:pPr>
              <w:pStyle w:val="TableText"/>
              <w:spacing w:after="0" w:line="252" w:lineRule="auto"/>
            </w:pPr>
            <w:r>
              <w:rPr>
                <w:rFonts w:ascii="Calibri" w:hAnsi="Calibri"/>
                <w:color w:val="1B2633"/>
                <w:sz w:val="17"/>
              </w:rPr>
              <w:t>Did independent verification pass?</w:t>
            </w:r>
          </w:p>
        </w:tc>
        <w:tc>
          <w:tcPr>
            <w:tcW w:type="dxa" w:w="3460"/>
            <w:shd w:fill="FFFFFF" w:val="clear"/>
          </w:tcPr>
          <w:p>
            <w:pPr>
              <w:pStyle w:val="TableText"/>
              <w:spacing w:after="0" w:line="252" w:lineRule="auto"/>
            </w:pPr>
            <w:r>
              <w:rPr>
                <w:rFonts w:ascii="Calibri" w:hAnsi="Calibri"/>
                <w:color w:val="1B2633"/>
                <w:sz w:val="17"/>
              </w:rPr>
              <w:t>Fluency or model self-confidence</w:t>
            </w:r>
          </w:p>
        </w:tc>
      </w:tr>
      <w:tr>
        <w:tc>
          <w:tcPr>
            <w:tcW w:type="dxa" w:w="1900"/>
            <w:shd w:fill="FFFFFF" w:val="clear"/>
          </w:tcPr>
          <w:p>
            <w:pPr>
              <w:pStyle w:val="TableText"/>
              <w:spacing w:after="0" w:line="252" w:lineRule="auto"/>
            </w:pPr>
            <w:r>
              <w:rPr>
                <w:rFonts w:ascii="Calibri" w:hAnsi="Calibri"/>
                <w:color w:val="1B2633"/>
                <w:sz w:val="17"/>
              </w:rPr>
              <w:t>Truthfulness</w:t>
            </w:r>
          </w:p>
        </w:tc>
        <w:tc>
          <w:tcPr>
            <w:tcW w:type="dxa" w:w="4300"/>
            <w:shd w:fill="FFFFFF" w:val="clear"/>
          </w:tcPr>
          <w:p>
            <w:pPr>
              <w:pStyle w:val="TableText"/>
              <w:spacing w:after="0" w:line="252" w:lineRule="auto"/>
            </w:pPr>
            <w:r>
              <w:rPr>
                <w:rFonts w:ascii="Calibri" w:hAnsi="Calibri"/>
                <w:color w:val="1B2633"/>
                <w:sz w:val="17"/>
              </w:rPr>
              <w:t>Did the terminal claim match evidence?</w:t>
            </w:r>
          </w:p>
        </w:tc>
        <w:tc>
          <w:tcPr>
            <w:tcW w:type="dxa" w:w="3460"/>
            <w:shd w:fill="FFFFFF" w:val="clear"/>
          </w:tcPr>
          <w:p>
            <w:pPr>
              <w:pStyle w:val="TableText"/>
              <w:spacing w:after="0" w:line="252" w:lineRule="auto"/>
            </w:pPr>
            <w:r>
              <w:rPr>
                <w:rFonts w:ascii="Calibri" w:hAnsi="Calibri"/>
                <w:color w:val="1B2633"/>
                <w:sz w:val="17"/>
              </w:rPr>
              <w:t>Ordinary task failure</w:t>
            </w:r>
          </w:p>
        </w:tc>
      </w:tr>
      <w:tr>
        <w:tc>
          <w:tcPr>
            <w:tcW w:type="dxa" w:w="1900"/>
            <w:shd w:fill="FFFFFF" w:val="clear"/>
          </w:tcPr>
          <w:p>
            <w:pPr>
              <w:pStyle w:val="TableText"/>
              <w:spacing w:after="0" w:line="252" w:lineRule="auto"/>
            </w:pPr>
            <w:r>
              <w:rPr>
                <w:rFonts w:ascii="Calibri" w:hAnsi="Calibri"/>
                <w:color w:val="1B2633"/>
                <w:sz w:val="17"/>
              </w:rPr>
              <w:t>Safety</w:t>
            </w:r>
          </w:p>
        </w:tc>
        <w:tc>
          <w:tcPr>
            <w:tcW w:type="dxa" w:w="4300"/>
            <w:shd w:fill="FFFFFF" w:val="clear"/>
          </w:tcPr>
          <w:p>
            <w:pPr>
              <w:pStyle w:val="TableText"/>
              <w:spacing w:after="0" w:line="252" w:lineRule="auto"/>
            </w:pPr>
            <w:r>
              <w:rPr>
                <w:rFonts w:ascii="Calibri" w:hAnsi="Calibri"/>
                <w:color w:val="1B2633"/>
                <w:sz w:val="17"/>
              </w:rPr>
              <w:t>Did policy prevent unauthorized effects?</w:t>
            </w:r>
          </w:p>
        </w:tc>
        <w:tc>
          <w:tcPr>
            <w:tcW w:type="dxa" w:w="3460"/>
            <w:shd w:fill="FFFFFF" w:val="clear"/>
          </w:tcPr>
          <w:p>
            <w:pPr>
              <w:pStyle w:val="TableText"/>
              <w:spacing w:after="0" w:line="252" w:lineRule="auto"/>
            </w:pPr>
            <w:r>
              <w:rPr>
                <w:rFonts w:ascii="Calibri" w:hAnsi="Calibri"/>
                <w:color w:val="1B2633"/>
                <w:sz w:val="17"/>
              </w:rPr>
              <w:t>User dissatisfaction</w:t>
            </w:r>
          </w:p>
        </w:tc>
      </w:tr>
      <w:tr>
        <w:tc>
          <w:tcPr>
            <w:tcW w:type="dxa" w:w="1900"/>
            <w:shd w:fill="FFFFFF" w:val="clear"/>
          </w:tcPr>
          <w:p>
            <w:pPr>
              <w:pStyle w:val="TableText"/>
              <w:spacing w:after="0" w:line="252" w:lineRule="auto"/>
            </w:pPr>
            <w:r>
              <w:rPr>
                <w:rFonts w:ascii="Calibri" w:hAnsi="Calibri"/>
                <w:color w:val="1B2633"/>
                <w:sz w:val="17"/>
              </w:rPr>
              <w:t>Abstention</w:t>
            </w:r>
          </w:p>
        </w:tc>
        <w:tc>
          <w:tcPr>
            <w:tcW w:type="dxa" w:w="4300"/>
            <w:shd w:fill="FFFFFF" w:val="clear"/>
          </w:tcPr>
          <w:p>
            <w:pPr>
              <w:pStyle w:val="TableText"/>
              <w:spacing w:after="0" w:line="252" w:lineRule="auto"/>
            </w:pPr>
            <w:r>
              <w:rPr>
                <w:rFonts w:ascii="Calibri" w:hAnsi="Calibri"/>
                <w:color w:val="1B2633"/>
                <w:sz w:val="17"/>
              </w:rPr>
              <w:t>Did the runtime block for the right reason?</w:t>
            </w:r>
          </w:p>
        </w:tc>
        <w:tc>
          <w:tcPr>
            <w:tcW w:type="dxa" w:w="3460"/>
            <w:shd w:fill="FFFFFF" w:val="clear"/>
          </w:tcPr>
          <w:p>
            <w:pPr>
              <w:pStyle w:val="TableText"/>
              <w:spacing w:after="0" w:line="252" w:lineRule="auto"/>
            </w:pPr>
            <w:r>
              <w:rPr>
                <w:rFonts w:ascii="Calibri" w:hAnsi="Calibri"/>
                <w:color w:val="1B2633"/>
                <w:sz w:val="17"/>
              </w:rPr>
              <w:t>Dependency failure</w:t>
            </w:r>
          </w:p>
        </w:tc>
      </w:tr>
      <w:tr>
        <w:tc>
          <w:tcPr>
            <w:tcW w:type="dxa" w:w="1900"/>
            <w:shd w:fill="FFFFFF" w:val="clear"/>
          </w:tcPr>
          <w:p>
            <w:pPr>
              <w:pStyle w:val="TableText"/>
              <w:spacing w:after="0" w:line="252" w:lineRule="auto"/>
            </w:pPr>
            <w:r>
              <w:rPr>
                <w:rFonts w:ascii="Calibri" w:hAnsi="Calibri"/>
                <w:color w:val="1B2633"/>
                <w:sz w:val="17"/>
              </w:rPr>
              <w:t>Efficiency</w:t>
            </w:r>
          </w:p>
        </w:tc>
        <w:tc>
          <w:tcPr>
            <w:tcW w:type="dxa" w:w="4300"/>
            <w:shd w:fill="FFFFFF" w:val="clear"/>
          </w:tcPr>
          <w:p>
            <w:pPr>
              <w:pStyle w:val="TableText"/>
              <w:spacing w:after="0" w:line="252" w:lineRule="auto"/>
            </w:pPr>
            <w:r>
              <w:rPr>
                <w:rFonts w:ascii="Calibri" w:hAnsi="Calibri"/>
                <w:color w:val="1B2633"/>
                <w:sz w:val="17"/>
              </w:rPr>
              <w:t>How many tokens, calls, seconds, and bytes per verified result?</w:t>
            </w:r>
          </w:p>
        </w:tc>
        <w:tc>
          <w:tcPr>
            <w:tcW w:type="dxa" w:w="3460"/>
            <w:shd w:fill="FFFFFF" w:val="clear"/>
          </w:tcPr>
          <w:p>
            <w:pPr>
              <w:pStyle w:val="TableText"/>
              <w:spacing w:after="0" w:line="252" w:lineRule="auto"/>
            </w:pPr>
            <w:r>
              <w:rPr>
                <w:rFonts w:ascii="Calibri" w:hAnsi="Calibri"/>
                <w:color w:val="1B2633"/>
                <w:sz w:val="17"/>
              </w:rPr>
              <w:t>Raw speed without success</w:t>
            </w:r>
          </w:p>
        </w:tc>
      </w:tr>
      <w:tr>
        <w:tc>
          <w:tcPr>
            <w:tcW w:type="dxa" w:w="1900"/>
            <w:shd w:fill="FFFFFF" w:val="clear"/>
          </w:tcPr>
          <w:p>
            <w:pPr>
              <w:pStyle w:val="TableText"/>
              <w:spacing w:after="0" w:line="252" w:lineRule="auto"/>
            </w:pPr>
            <w:r>
              <w:rPr>
                <w:rFonts w:ascii="Calibri" w:hAnsi="Calibri"/>
                <w:color w:val="1B2633"/>
                <w:sz w:val="17"/>
              </w:rPr>
              <w:t>Memory value</w:t>
            </w:r>
          </w:p>
        </w:tc>
        <w:tc>
          <w:tcPr>
            <w:tcW w:type="dxa" w:w="4300"/>
            <w:shd w:fill="FFFFFF" w:val="clear"/>
          </w:tcPr>
          <w:p>
            <w:pPr>
              <w:pStyle w:val="TableText"/>
              <w:spacing w:after="0" w:line="252" w:lineRule="auto"/>
            </w:pPr>
            <w:r>
              <w:rPr>
                <w:rFonts w:ascii="Calibri" w:hAnsi="Calibri"/>
                <w:color w:val="1B2633"/>
                <w:sz w:val="17"/>
              </w:rPr>
              <w:t>Did injected experience improve the next action?</w:t>
            </w:r>
          </w:p>
        </w:tc>
        <w:tc>
          <w:tcPr>
            <w:tcW w:type="dxa" w:w="3460"/>
            <w:shd w:fill="FFFFFF" w:val="clear"/>
          </w:tcPr>
          <w:p>
            <w:pPr>
              <w:pStyle w:val="TableText"/>
              <w:spacing w:after="0" w:line="252" w:lineRule="auto"/>
            </w:pPr>
            <w:r>
              <w:rPr>
                <w:rFonts w:ascii="Calibri" w:hAnsi="Calibri"/>
                <w:color w:val="1B2633"/>
                <w:sz w:val="17"/>
              </w:rPr>
              <w:t>Semantic similarity alone</w:t>
            </w:r>
          </w:p>
        </w:tc>
      </w:tr>
      <w:tr>
        <w:tc>
          <w:tcPr>
            <w:tcW w:type="dxa" w:w="1900"/>
            <w:shd w:fill="FFFFFF" w:val="clear"/>
          </w:tcPr>
          <w:p>
            <w:pPr>
              <w:pStyle w:val="TableText"/>
              <w:spacing w:after="0" w:line="252" w:lineRule="auto"/>
            </w:pPr>
            <w:r>
              <w:rPr>
                <w:rFonts w:ascii="Calibri" w:hAnsi="Calibri"/>
                <w:color w:val="1B2633"/>
                <w:sz w:val="17"/>
              </w:rPr>
              <w:t>Recovery</w:t>
            </w:r>
          </w:p>
        </w:tc>
        <w:tc>
          <w:tcPr>
            <w:tcW w:type="dxa" w:w="4300"/>
            <w:shd w:fill="FFFFFF" w:val="clear"/>
          </w:tcPr>
          <w:p>
            <w:pPr>
              <w:pStyle w:val="TableText"/>
              <w:spacing w:after="0" w:line="252" w:lineRule="auto"/>
            </w:pPr>
            <w:r>
              <w:rPr>
                <w:rFonts w:ascii="Calibri" w:hAnsi="Calibri"/>
                <w:color w:val="1B2633"/>
                <w:sz w:val="17"/>
              </w:rPr>
              <w:t>Did restart preserve uncertainty and avoid duplicate effects?</w:t>
            </w:r>
          </w:p>
        </w:tc>
        <w:tc>
          <w:tcPr>
            <w:tcW w:type="dxa" w:w="3460"/>
            <w:shd w:fill="FFFFFF" w:val="clear"/>
          </w:tcPr>
          <w:p>
            <w:pPr>
              <w:pStyle w:val="TableText"/>
              <w:spacing w:after="0" w:line="252" w:lineRule="auto"/>
            </w:pPr>
            <w:r>
              <w:rPr>
                <w:rFonts w:ascii="Calibri" w:hAnsi="Calibri"/>
                <w:color w:val="1B2633"/>
                <w:sz w:val="17"/>
              </w:rPr>
              <w:t>A clean happy-path test</w:t>
            </w:r>
          </w:p>
        </w:tc>
      </w:tr>
    </w:tbl>
    <w:p>
      <w:pPr>
        <w:pStyle w:val="SmallText"/>
        <w:spacing w:after="0"/>
      </w:pPr>
    </w:p>
    <w:p>
      <w:pPr>
        <w:pStyle w:val="Heading1"/>
      </w:pPr>
      <w:r>
        <w:t>10. Practical 90-day sequence</w:t>
      </w:r>
    </w:p>
    <w:p>
      <w:pPr>
        <w:pStyle w:val="Heading2"/>
      </w:pPr>
      <w:r>
        <w:t>Days 1-30: authority and evidence</w:t>
      </w:r>
    </w:p>
    <w:p>
      <w:pPr>
        <w:pStyle w:val="ListBullet"/>
      </w:pPr>
      <w:r>
        <w:rPr>
          <w:rFonts w:ascii="Calibri" w:hAnsi="Calibri"/>
          <w:color w:val="1B2633"/>
          <w:sz w:val="22"/>
        </w:rPr>
        <w:t>Make unattended ask fail closed by default while preserving explicit auto and allow semantics.</w:t>
      </w:r>
    </w:p>
    <w:p>
      <w:pPr>
        <w:pStyle w:val="ListBullet"/>
      </w:pPr>
      <w:r>
        <w:rPr>
          <w:rFonts w:ascii="Calibri" w:hAnsi="Calibri"/>
          <w:color w:val="1B2633"/>
          <w:sz w:val="22"/>
        </w:rPr>
        <w:t>Define scoped capability grants and standard terminal reasons.</w:t>
      </w:r>
    </w:p>
    <w:p>
      <w:pPr>
        <w:pStyle w:val="ListBullet"/>
      </w:pPr>
      <w:r>
        <w:rPr>
          <w:rFonts w:ascii="Calibri" w:hAnsi="Calibri"/>
          <w:color w:val="1B2633"/>
          <w:sz w:val="22"/>
        </w:rPr>
        <w:t>Create a golden evaluation corpus and immutable task contract.</w:t>
      </w:r>
    </w:p>
    <w:p>
      <w:pPr>
        <w:pStyle w:val="ListBullet"/>
      </w:pPr>
      <w:r>
        <w:rPr>
          <w:rFonts w:ascii="Calibri" w:hAnsi="Calibri"/>
          <w:color w:val="1B2633"/>
          <w:sz w:val="22"/>
        </w:rPr>
        <w:t>Wire trajectory replay and evaluation-history persistence.</w:t>
      </w:r>
    </w:p>
    <w:p>
      <w:pPr>
        <w:pStyle w:val="ListBullet"/>
      </w:pPr>
      <w:r>
        <w:rPr>
          <w:rFonts w:ascii="Calibri" w:hAnsi="Calibri"/>
          <w:color w:val="1B2633"/>
          <w:sz w:val="22"/>
        </w:rPr>
        <w:t>Establish baseline verified success, false completion, policy safety, latency, and token metrics.</w:t>
      </w:r>
    </w:p>
    <w:p>
      <w:pPr>
        <w:pStyle w:val="Heading2"/>
      </w:pPr>
      <w:r>
        <w:t>Days 31-60: first vertical migration</w:t>
      </w:r>
    </w:p>
    <w:p>
      <w:pPr>
        <w:pStyle w:val="ListBullet"/>
      </w:pPr>
      <w:r>
        <w:rPr>
          <w:rFonts w:ascii="Calibri" w:hAnsi="Calibri"/>
          <w:color w:val="1B2633"/>
          <w:sz w:val="22"/>
        </w:rPr>
        <w:t>Migrate one workbench/file-tool family through the typed gateway.</w:t>
      </w:r>
    </w:p>
    <w:p>
      <w:pPr>
        <w:pStyle w:val="ListBullet"/>
      </w:pPr>
      <w:r>
        <w:rPr>
          <w:rFonts w:ascii="Calibri" w:hAnsi="Calibri"/>
          <w:color w:val="1B2633"/>
          <w:sz w:val="22"/>
        </w:rPr>
        <w:t>Make receipts durable and redacted; add crash/reconciliation tests.</w:t>
      </w:r>
    </w:p>
    <w:p>
      <w:pPr>
        <w:pStyle w:val="ListBullet"/>
      </w:pPr>
      <w:r>
        <w:rPr>
          <w:rFonts w:ascii="Calibri" w:hAnsi="Calibri"/>
          <w:color w:val="1B2633"/>
          <w:sz w:val="22"/>
        </w:rPr>
        <w:t>Shadow the context planner.</w:t>
      </w:r>
    </w:p>
    <w:p>
      <w:pPr>
        <w:pStyle w:val="ListBullet"/>
      </w:pPr>
      <w:r>
        <w:rPr>
          <w:rFonts w:ascii="Calibri" w:hAnsi="Calibri"/>
          <w:color w:val="1B2633"/>
          <w:sz w:val="22"/>
        </w:rPr>
        <w:t>Shadow lesson decay and contradiction reporting.</w:t>
      </w:r>
    </w:p>
    <w:p>
      <w:pPr>
        <w:pStyle w:val="ListBullet"/>
      </w:pPr>
      <w:r>
        <w:rPr>
          <w:rFonts w:ascii="Calibri" w:hAnsi="Calibri"/>
          <w:color w:val="1B2633"/>
          <w:sz w:val="22"/>
        </w:rPr>
        <w:t>Enforce token, time, tool-call, and output bounds.</w:t>
      </w:r>
    </w:p>
    <w:p>
      <w:pPr>
        <w:pStyle w:val="Heading2"/>
      </w:pPr>
      <w:r>
        <w:t>Days 61-90: unify turns and autonomy</w:t>
      </w:r>
    </w:p>
    <w:p>
      <w:pPr>
        <w:pStyle w:val="ListBullet"/>
      </w:pPr>
      <w:r>
        <w:rPr>
          <w:rFonts w:ascii="Calibri" w:hAnsi="Calibri"/>
          <w:color w:val="1B2633"/>
          <w:sz w:val="22"/>
        </w:rPr>
        <w:t>Introduce the unified conversation/session/memory turn service.</w:t>
      </w:r>
    </w:p>
    <w:p>
      <w:pPr>
        <w:pStyle w:val="ListBullet"/>
      </w:pPr>
      <w:r>
        <w:rPr>
          <w:rFonts w:ascii="Calibri" w:hAnsi="Calibri"/>
          <w:color w:val="1B2633"/>
          <w:sz w:val="22"/>
        </w:rPr>
        <w:t>Run causal memory/context comparisons on a frozen holdout.</w:t>
      </w:r>
    </w:p>
    <w:p>
      <w:pPr>
        <w:pStyle w:val="ListBullet"/>
      </w:pPr>
      <w:r>
        <w:rPr>
          <w:rFonts w:ascii="Calibri" w:hAnsi="Calibri"/>
          <w:color w:val="1B2633"/>
          <w:sz w:val="22"/>
        </w:rPr>
        <w:t>Shadow evidence-based routing and stopping policies.</w:t>
      </w:r>
    </w:p>
    <w:p>
      <w:pPr>
        <w:pStyle w:val="ListBullet"/>
      </w:pPr>
      <w:r>
        <w:rPr>
          <w:rFonts w:ascii="Calibri" w:hAnsi="Calibri"/>
          <w:color w:val="1B2633"/>
          <w:sz w:val="22"/>
        </w:rPr>
        <w:t>Add fleet/autopilot fencing, per-project budgets, and universal reconciliation.</w:t>
      </w:r>
    </w:p>
    <w:p>
      <w:pPr>
        <w:pStyle w:val="ListBullet"/>
      </w:pPr>
      <w:r>
        <w:rPr>
          <w:rFonts w:ascii="Calibri" w:hAnsi="Calibri"/>
          <w:color w:val="1B2633"/>
          <w:sz w:val="22"/>
        </w:rPr>
        <w:t>Choose the next migration only from measured evidence.</w:t>
      </w:r>
    </w:p>
    <w:p>
      <w:pPr>
        <w:pStyle w:val="Heading1"/>
      </w:pPr>
      <w:r>
        <w:t>11. Work to defer or reject</w:t>
      </w:r>
    </w:p>
    <w:p>
      <w:pPr/>
      <w:r>
        <w:rPr>
          <w:rFonts w:ascii="Calibri" w:hAnsi="Calibri"/>
          <w:color w:val="1B2633"/>
          <w:sz w:val="22"/>
        </w:rPr>
        <w:t>For now, explicitly defer or reject the following:</w:t>
      </w:r>
    </w:p>
    <w:p>
      <w:pPr>
        <w:pStyle w:val="ListBullet"/>
      </w:pPr>
      <w:r>
        <w:rPr>
          <w:rFonts w:ascii="Calibri" w:hAnsi="Calibri"/>
          <w:color w:val="1B2633"/>
          <w:sz w:val="22"/>
        </w:rPr>
        <w:t>More recursive agents or fleet workers as a quality strategy.</w:t>
      </w:r>
    </w:p>
    <w:p>
      <w:pPr>
        <w:pStyle w:val="ListBullet"/>
      </w:pPr>
      <w:r>
        <w:rPr>
          <w:rFonts w:ascii="Calibri" w:hAnsi="Calibri"/>
          <w:color w:val="1B2633"/>
          <w:sz w:val="22"/>
        </w:rPr>
        <w:t>A general graph orchestration engine.</w:t>
      </w:r>
    </w:p>
    <w:p>
      <w:pPr>
        <w:pStyle w:val="ListBullet"/>
      </w:pPr>
      <w:r>
        <w:rPr>
          <w:rFonts w:ascii="Calibri" w:hAnsi="Calibri"/>
          <w:color w:val="1B2633"/>
          <w:sz w:val="22"/>
        </w:rPr>
        <w:t>Longer context and more memory by default.</w:t>
      </w:r>
    </w:p>
    <w:p>
      <w:pPr>
        <w:pStyle w:val="ListBullet"/>
      </w:pPr>
      <w:r>
        <w:rPr>
          <w:rFonts w:ascii="Calibri" w:hAnsi="Calibri"/>
          <w:color w:val="1B2633"/>
          <w:sz w:val="22"/>
        </w:rPr>
        <w:t>Self-reward or self-editing standing memory.</w:t>
      </w:r>
    </w:p>
    <w:p>
      <w:pPr>
        <w:pStyle w:val="ListBullet"/>
      </w:pPr>
      <w:r>
        <w:rPr>
          <w:rFonts w:ascii="Calibri" w:hAnsi="Calibri"/>
          <w:color w:val="1B2633"/>
          <w:sz w:val="22"/>
        </w:rPr>
        <w:t>Automatic prompt optimization before a meaningful metric exists.</w:t>
      </w:r>
    </w:p>
    <w:p>
      <w:pPr>
        <w:pStyle w:val="ListBullet"/>
      </w:pPr>
      <w:r>
        <w:rPr>
          <w:rFonts w:ascii="Calibri" w:hAnsi="Calibri"/>
          <w:color w:val="1B2633"/>
          <w:sz w:val="22"/>
        </w:rPr>
        <w:t>Fine-tuning before labels, verifiers, retrieval, and replay are trustworthy.</w:t>
      </w:r>
    </w:p>
    <w:p>
      <w:pPr>
        <w:pStyle w:val="ListBullet"/>
      </w:pPr>
      <w:r>
        <w:rPr>
          <w:rFonts w:ascii="Calibri" w:hAnsi="Calibri"/>
          <w:color w:val="1B2633"/>
          <w:sz w:val="22"/>
        </w:rPr>
        <w:t>Distributed model-weight sharding over ordinary network links.</w:t>
      </w:r>
    </w:p>
    <w:p>
      <w:pPr>
        <w:pStyle w:val="ListBullet"/>
      </w:pPr>
      <w:r>
        <w:rPr>
          <w:rFonts w:ascii="Calibri" w:hAnsi="Calibri"/>
          <w:color w:val="1B2633"/>
          <w:sz w:val="22"/>
        </w:rPr>
        <w:t>Bulk migration of every MCP tool in one change.</w:t>
      </w:r>
    </w:p>
    <w:p>
      <w:pPr>
        <w:pStyle w:val="ListBullet"/>
      </w:pPr>
      <w:r>
        <w:rPr>
          <w:rFonts w:ascii="Calibri" w:hAnsi="Calibri"/>
          <w:color w:val="1B2633"/>
          <w:sz w:val="22"/>
        </w:rPr>
        <w:t>Rewriting the compute fabric, model gateway, SQLite schemas, or security-critical file_ops internals without a measured reason.</w:t>
      </w:r>
    </w:p>
    <w:p>
      <w:pPr>
        <w:pStyle w:val="CalloutText"/>
        <w:spacing w:before="80" w:after="0"/>
        <w:ind w:left="173" w:right="173"/>
        <w:shd w:fill="FFF8E8" w:val="clear"/>
        <w:pBdr>
          <w:left w:val="single" w:sz="18" w:space="6" w:color="2E74B5"/>
        </w:pBdr>
      </w:pPr>
      <w:r>
        <w:rPr>
          <w:rFonts w:ascii="Calibri" w:hAnsi="Calibri"/>
          <w:b/>
          <w:color w:val="7A5A00"/>
          <w:sz w:val="21"/>
        </w:rPr>
        <w:t xml:space="preserve">TEST FOR PREMATURE WORK  </w:t>
      </w:r>
      <w:r>
        <w:rPr>
          <w:rFonts w:ascii="Calibri" w:hAnsi="Calibri"/>
          <w:color w:val="1B2633"/>
          <w:sz w:val="21"/>
        </w:rPr>
        <w:t>If a proposed feature cannot be connected to a frozen task, an independent verifier, a replayable trajectory, and a bounded promotion gate, it is probably not the next feature Sonder needs.</w:t>
      </w:r>
    </w:p>
    <w:p>
      <w:pPr>
        <w:pStyle w:val="Heading1"/>
      </w:pPr>
      <w:r>
        <w:t>12. Immediate design request for Claude</w:t>
      </w:r>
    </w:p>
    <w:p>
      <w:pPr/>
      <w:r>
        <w:rPr>
          <w:rFonts w:ascii="Calibri" w:hAnsi="Calibri"/>
          <w:color w:val="1B2633"/>
          <w:sz w:val="22"/>
        </w:rPr>
        <w:t>Please begin by independently inspecting the current main branch and then answer these questions before editing code:</w:t>
      </w:r>
    </w:p>
    <w:p>
      <w:pPr>
        <w:pStyle w:val="ListNumber"/>
      </w:pPr>
      <w:r>
        <w:rPr>
          <w:rFonts w:ascii="Calibri" w:hAnsi="Calibri"/>
          <w:color w:val="1B2633"/>
          <w:sz w:val="22"/>
        </w:rPr>
        <w:t>Do you agree that the dominant problem is integration and authority unification rather than missing features?</w:t>
      </w:r>
    </w:p>
    <w:p>
      <w:pPr>
        <w:pStyle w:val="ListNumber"/>
      </w:pPr>
      <w:r>
        <w:rPr>
          <w:rFonts w:ascii="Calibri" w:hAnsi="Calibri"/>
          <w:color w:val="1B2633"/>
          <w:sz w:val="22"/>
        </w:rPr>
        <w:t>Which claims in this handoff are stale or incorrect against the current repository?</w:t>
      </w:r>
    </w:p>
    <w:p>
      <w:pPr>
        <w:pStyle w:val="ListNumber"/>
      </w:pPr>
      <w:r>
        <w:rPr>
          <w:rFonts w:ascii="Calibri" w:hAnsi="Calibri"/>
          <w:color w:val="1B2633"/>
          <w:sz w:val="22"/>
        </w:rPr>
        <w:t>What is the smallest safe first slice?</w:t>
      </w:r>
    </w:p>
    <w:p>
      <w:pPr>
        <w:pStyle w:val="ListNumber"/>
      </w:pPr>
      <w:r>
        <w:rPr>
          <w:rFonts w:ascii="Calibri" w:hAnsi="Calibri"/>
          <w:color w:val="1B2633"/>
          <w:sz w:val="22"/>
        </w:rPr>
        <w:t>Which existing contracts and tests must remain unchanged?</w:t>
      </w:r>
    </w:p>
    <w:p>
      <w:pPr>
        <w:pStyle w:val="ListNumber"/>
      </w:pPr>
      <w:r>
        <w:rPr>
          <w:rFonts w:ascii="Calibri" w:hAnsi="Calibri"/>
          <w:color w:val="1B2633"/>
          <w:sz w:val="22"/>
        </w:rPr>
        <w:t>How would you design the first slice, including data flow, ownership, failure handling, and acceptance tests?</w:t>
      </w:r>
    </w:p>
    <w:p>
      <w:pPr/>
      <w:r>
        <w:rPr>
          <w:rFonts w:ascii="Calibri" w:hAnsi="Calibri"/>
          <w:color w:val="1B2633"/>
          <w:sz w:val="22"/>
        </w:rPr>
        <w:t>The proposed first slice is: fail-closed unattended authority + golden evaluation/trajectory lane + one workbench tool-family migration. Do not modify the repository until Nathan approves the design. Separate implemented, wired, shadow, experimental, proposed, and unsupported behavior in the review.</w:t>
      </w:r>
    </w:p>
    <w:p>
      <w:pPr>
        <w:pStyle w:val="Heading1"/>
      </w:pPr>
      <w:r>
        <w:t>13. Reference links</w:t>
      </w:r>
    </w:p>
    <w:p>
      <w:pPr/>
      <w:hyperlink r:id="rId11">
        <w:r>
          <w:rPr>
            <w:rStyle w:val="Hyperlink"/>
            <w:color w:val="2E74B5"/>
            <w:u w:val="single"/>
          </w:rPr>
          <w:t>Sonder Runtime repository</w:t>
        </w:r>
      </w:hyperlink>
      <w:r>
        <w:rPr>
          <w:rFonts w:ascii="Calibri" w:hAnsi="Calibri"/>
          <w:color w:val="5B6573"/>
          <w:sz w:val="20"/>
        </w:rPr>
        <w:t xml:space="preserve"> - README, source tree, issues, and current branch</w:t>
      </w:r>
    </w:p>
    <w:p>
      <w:pPr/>
      <w:hyperlink r:id="rId12">
        <w:r>
          <w:rPr>
            <w:rStyle w:val="Hyperlink"/>
            <w:color w:val="2E74B5"/>
            <w:u w:val="single"/>
          </w:rPr>
          <w:t>Sonder architecture</w:t>
        </w:r>
      </w:hyperlink>
      <w:r>
        <w:rPr>
          <w:rFonts w:ascii="Calibri" w:hAnsi="Calibri"/>
          <w:color w:val="5B6573"/>
          <w:sz w:val="20"/>
        </w:rPr>
        <w:t xml:space="preserve"> - model/runtime boundary and adapter lifecycle</w:t>
      </w:r>
    </w:p>
    <w:p>
      <w:pPr/>
      <w:hyperlink r:id="rId13">
        <w:r>
          <w:rPr>
            <w:rStyle w:val="Hyperlink"/>
            <w:color w:val="2E74B5"/>
            <w:u w:val="single"/>
          </w:rPr>
          <w:t>Package architecture</w:t>
        </w:r>
      </w:hyperlink>
      <w:r>
        <w:rPr>
          <w:rFonts w:ascii="Calibri" w:hAnsi="Calibri"/>
          <w:color w:val="5B6573"/>
          <w:sz w:val="20"/>
        </w:rPr>
        <w:t xml:space="preserve"> - layering, ports, adapters, migration status</w:t>
      </w:r>
    </w:p>
    <w:p>
      <w:pPr/>
      <w:hyperlink r:id="rId16">
        <w:r>
          <w:rPr>
            <w:rStyle w:val="Hyperlink"/>
            <w:color w:val="2E74B5"/>
            <w:u w:val="single"/>
          </w:rPr>
          <w:t>Agent, Autopilot, and Fleet</w:t>
        </w:r>
      </w:hyperlink>
      <w:r>
        <w:rPr>
          <w:rFonts w:ascii="Calibri" w:hAnsi="Calibri"/>
          <w:color w:val="5B6573"/>
          <w:sz w:val="20"/>
        </w:rPr>
        <w:t xml:space="preserve"> - agent loop, durable goals, fleet provenance, recovery</w:t>
      </w:r>
    </w:p>
    <w:p>
      <w:pPr/>
      <w:hyperlink r:id="rId18">
        <w:r>
          <w:rPr>
            <w:rStyle w:val="Hyperlink"/>
            <w:color w:val="2E74B5"/>
            <w:u w:val="single"/>
          </w:rPr>
          <w:t>Model tiers and gateway</w:t>
        </w:r>
      </w:hyperlink>
      <w:r>
        <w:rPr>
          <w:rFonts w:ascii="Calibri" w:hAnsi="Calibri"/>
          <w:color w:val="5B6573"/>
          <w:sz w:val="20"/>
        </w:rPr>
        <w:t xml:space="preserve"> - routing, lanes, providers, consent</w:t>
      </w:r>
    </w:p>
    <w:p>
      <w:pPr/>
      <w:hyperlink r:id="rId15">
        <w:r>
          <w:rPr>
            <w:rStyle w:val="Hyperlink"/>
            <w:color w:val="2E74B5"/>
            <w:u w:val="single"/>
          </w:rPr>
          <w:t>Memory and learning</w:t>
        </w:r>
      </w:hyperlink>
      <w:r>
        <w:rPr>
          <w:rFonts w:ascii="Calibri" w:hAnsi="Calibri"/>
          <w:color w:val="5B6573"/>
          <w:sz w:val="20"/>
        </w:rPr>
        <w:t xml:space="preserve"> - memory classes, retrieval, grounded outcomes</w:t>
      </w:r>
    </w:p>
    <w:p>
      <w:pPr/>
      <w:hyperlink r:id="rId14">
        <w:r>
          <w:rPr>
            <w:rStyle w:val="Hyperlink"/>
            <w:color w:val="2E74B5"/>
            <w:u w:val="single"/>
          </w:rPr>
          <w:t>Harness landscape</w:t>
        </w:r>
      </w:hyperlink>
      <w:r>
        <w:rPr>
          <w:rFonts w:ascii="Calibri" w:hAnsi="Calibri"/>
          <w:color w:val="5B6573"/>
          <w:sz w:val="20"/>
        </w:rPr>
        <w:t xml:space="preserve"> - existing experiment recommendations and deferrals</w:t>
      </w:r>
    </w:p>
    <w:p>
      <w:pPr/>
      <w:hyperlink r:id="rId19">
        <w:r>
          <w:rPr>
            <w:rStyle w:val="Hyperlink"/>
            <w:color w:val="2E74B5"/>
            <w:u w:val="single"/>
          </w:rPr>
          <w:t>Evaluation case frontier</w:t>
        </w:r>
      </w:hyperlink>
      <w:r>
        <w:rPr>
          <w:rFonts w:ascii="Calibri" w:hAnsi="Calibri"/>
          <w:color w:val="5B6573"/>
          <w:sz w:val="20"/>
        </w:rPr>
        <w:t xml:space="preserve"> - manifest, verifier, replay, and evaluation experiments</w:t>
      </w:r>
    </w:p>
    <w:p>
      <w:pPr/>
      <w:hyperlink r:id="rId17">
        <w:r>
          <w:rPr>
            <w:rStyle w:val="Hyperlink"/>
            <w:color w:val="2E74B5"/>
            <w:u w:val="single"/>
          </w:rPr>
          <w:t>Security model</w:t>
        </w:r>
      </w:hyperlink>
      <w:r>
        <w:rPr>
          <w:rFonts w:ascii="Calibri" w:hAnsi="Calibri"/>
          <w:color w:val="5B6573"/>
          <w:sz w:val="20"/>
        </w:rPr>
        <w:t xml:space="preserve"> - trust boundary and containment limitations</w:t>
      </w:r>
    </w:p>
    <w:p>
      <w:pPr/>
      <w:hyperlink r:id="rId20">
        <w:r>
          <w:rPr>
            <w:rStyle w:val="Hyperlink"/>
            <w:color w:val="2E74B5"/>
            <w:u w:val="single"/>
          </w:rPr>
          <w:t>Training lifecycle</w:t>
        </w:r>
      </w:hyperlink>
      <w:r>
        <w:rPr>
          <w:rFonts w:ascii="Calibri" w:hAnsi="Calibri"/>
          <w:color w:val="5B6573"/>
          <w:sz w:val="20"/>
        </w:rPr>
        <w:t xml:space="preserve"> - attended adapter training and promotion</w:t>
      </w:r>
    </w:p>
    <w:p>
      <w:pPr/>
      <w:hyperlink r:id="rId21">
        <w:r>
          <w:rPr>
            <w:rStyle w:val="Hyperlink"/>
            <w:color w:val="2E74B5"/>
            <w:u w:val="single"/>
          </w:rPr>
          <w:t>Permission modes</w:t>
        </w:r>
      </w:hyperlink>
      <w:r>
        <w:rPr>
          <w:rFonts w:ascii="Calibri" w:hAnsi="Calibri"/>
          <w:color w:val="5B6573"/>
          <w:sz w:val="20"/>
        </w:rPr>
        <w:t xml:space="preserve"> - interactive ask behavior and permission semantics</w:t>
      </w:r>
    </w:p>
    <w:p>
      <w:pPr/>
      <w:hyperlink r:id="rId22">
        <w:r>
          <w:rPr>
            <w:rStyle w:val="Hyperlink"/>
            <w:color w:val="2E74B5"/>
            <w:u w:val="single"/>
          </w:rPr>
          <w:t>Compute fabric</w:t>
        </w:r>
      </w:hyperlink>
      <w:r>
        <w:rPr>
          <w:rFonts w:ascii="Calibri" w:hAnsi="Calibri"/>
          <w:color w:val="5B6573"/>
          <w:sz w:val="20"/>
        </w:rPr>
        <w:t xml:space="preserve"> - bounded private-node execution and artifact receipts</w:t>
      </w:r>
    </w:p>
    <w:p>
      <w:pPr/>
      <w:hyperlink r:id="rId23">
        <w:r>
          <w:rPr>
            <w:rStyle w:val="Hyperlink"/>
            <w:color w:val="2E74B5"/>
            <w:u w:val="single"/>
          </w:rPr>
          <w:t>Codex harness comparison</w:t>
        </w:r>
      </w:hyperlink>
      <w:r>
        <w:rPr>
          <w:rFonts w:ascii="Calibri" w:hAnsi="Calibri"/>
          <w:color w:val="5B6573"/>
          <w:sz w:val="20"/>
        </w:rPr>
        <w:t xml:space="preserve"> - context, tools, sandbox, app-server, and harness framing</w:t>
      </w:r>
    </w:p>
    <w:p>
      <w:pPr>
        <w:pStyle w:val="Heading1"/>
      </w:pPr>
      <w:r>
        <w:t>Appendix A. Concise positioning</w:t>
      </w:r>
    </w:p>
    <w:p>
      <w:pPr>
        <w:pStyle w:val="CalloutText"/>
        <w:spacing w:before="80" w:after="0"/>
        <w:ind w:left="173" w:right="173"/>
        <w:shd w:fill="E8EEF5" w:val="clear"/>
        <w:pBdr>
          <w:left w:val="single" w:sz="18" w:space="6" w:color="2E74B5"/>
        </w:pBdr>
      </w:pPr>
      <w:r>
        <w:rPr>
          <w:rFonts w:ascii="Calibri" w:hAnsi="Calibri"/>
          <w:b/>
          <w:color w:val="0B2545"/>
          <w:sz w:val="21"/>
        </w:rPr>
        <w:t xml:space="preserve">ONE SENTENCE  </w:t>
      </w:r>
      <w:r>
        <w:rPr>
          <w:rFonts w:ascii="Calibri" w:hAnsi="Calibri"/>
          <w:color w:val="1B2633"/>
          <w:sz w:val="21"/>
        </w:rPr>
        <w:t>Sonder is a private-first agent-runtime control layer that composes external model inference with memory, guarded execution, durable workflows, and grounded adaptation - not a new model, MCP server, RAG database, or distributed inference platform by itself.</w:t>
      </w:r>
    </w:p>
    <w:p>
      <w:pPr>
        <w:pStyle w:val="CalloutText"/>
        <w:spacing w:before="80" w:after="0"/>
        <w:ind w:left="173" w:right="173"/>
        <w:shd w:fill="F4F6F9" w:val="clear"/>
        <w:pBdr>
          <w:left w:val="single" w:sz="18" w:space="6" w:color="2E74B5"/>
        </w:pBdr>
      </w:pPr>
      <w:r>
        <w:rPr>
          <w:rFonts w:ascii="Calibri" w:hAnsi="Calibri"/>
          <w:b/>
          <w:color w:val="1F4D78"/>
          <w:sz w:val="21"/>
        </w:rPr>
        <w:t xml:space="preserve">ANALOGY  </w:t>
      </w:r>
      <w:r>
        <w:rPr>
          <w:rFonts w:ascii="Calibri" w:hAnsi="Calibri"/>
          <w:color w:val="1B2633"/>
          <w:sz w:val="21"/>
        </w:rPr>
        <w:t>The Transformer is the mathematician; Ollama supplies the laboratory; Sonder is the lab director, notebook, safety officer, scheduler, and institutional memory.</w:t>
      </w:r>
    </w:p>
    <w:p>
      <w:pPr>
        <w:pStyle w:val="SmallText"/>
      </w:pPr>
      <w:r>
        <w:rPr>
          <w:rFonts w:ascii="Calibri" w:hAnsi="Calibri"/>
          <w:color w:val="5B6573"/>
          <w:sz w:val="19"/>
        </w:rPr>
        <w:t>End of handoff. Verify repository state and contracts before implementation.</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8"/>
      </w:rPr>
      <w:t xml:space="preserve">Nathan / Claude review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SONDER RUNTIME  |  ARCHITECTURE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B26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color w:val="1B26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color w:val="1B26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0" w:after="80" w:line="240" w:lineRule="auto"/>
    </w:pPr>
    <w:rPr>
      <w:rFonts w:ascii="Consolas" w:hAnsi="Consolas"/>
      <w:color w:val="263238"/>
      <w:sz w:val="18"/>
    </w:rPr>
  </w:style>
  <w:style w:type="paragraph" w:customStyle="1" w:styleId="SmallText">
    <w:name w:val="Small Text"/>
    <w:basedOn w:val="Normal"/>
    <w:pPr>
      <w:spacing w:before="0" w:after="80" w:line="264" w:lineRule="auto"/>
    </w:pPr>
    <w:rPr>
      <w:rFonts w:ascii="Calibri" w:hAnsi="Calibri"/>
      <w:color w:val="5B6573"/>
      <w:sz w:val="19"/>
    </w:rPr>
  </w:style>
  <w:style w:type="paragraph" w:customStyle="1" w:styleId="TableText">
    <w:name w:val="Table Text"/>
    <w:basedOn w:val="Normal"/>
    <w:pPr>
      <w:spacing w:before="0" w:after="80" w:line="252" w:lineRule="auto"/>
    </w:pPr>
    <w:rPr>
      <w:rFonts w:ascii="Calibri" w:hAnsi="Calibri"/>
      <w:color w:val="1B2633"/>
      <w:sz w:val="18"/>
    </w:rPr>
  </w:style>
  <w:style w:type="paragraph" w:customStyle="1" w:styleId="CalloutText">
    <w:name w:val="Callout Text"/>
    <w:basedOn w:val="Normal"/>
    <w:pPr>
      <w:spacing w:before="0" w:after="80" w:line="264" w:lineRule="auto"/>
    </w:pPr>
    <w:rPr>
      <w:rFonts w:ascii="Calibri" w:hAnsi="Calibri"/>
      <w:color w:val="1B26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rilliac/Sonder-runtime" TargetMode="External"/><Relationship Id="rId12" Type="http://schemas.openxmlformats.org/officeDocument/2006/relationships/hyperlink" Target="https://github.com/Krilliac/Sonder-runtime/blob/main/ARCHITECTURE.md" TargetMode="External"/><Relationship Id="rId13" Type="http://schemas.openxmlformats.org/officeDocument/2006/relationships/hyperlink" Target="https://github.com/Krilliac/Sonder-runtime/blob/main/docs/wiki/14-package-architecture.md" TargetMode="External"/><Relationship Id="rId14" Type="http://schemas.openxmlformats.org/officeDocument/2006/relationships/hyperlink" Target="https://github.com/Krilliac/Sonder-runtime/blob/main/docs/research/harness-landscape.md" TargetMode="External"/><Relationship Id="rId15" Type="http://schemas.openxmlformats.org/officeDocument/2006/relationships/hyperlink" Target="https://github.com/Krilliac/Sonder-runtime/blob/main/docs/wiki/06-memory-and-learning.md" TargetMode="External"/><Relationship Id="rId16" Type="http://schemas.openxmlformats.org/officeDocument/2006/relationships/hyperlink" Target="https://github.com/Krilliac/Sonder-runtime/blob/main/docs/wiki/07-agent-autopilot-fleet.md" TargetMode="External"/><Relationship Id="rId17" Type="http://schemas.openxmlformats.org/officeDocument/2006/relationships/hyperlink" Target="https://github.com/Krilliac/Sonder-runtime/blob/main/SECURITY.md" TargetMode="External"/><Relationship Id="rId18" Type="http://schemas.openxmlformats.org/officeDocument/2006/relationships/hyperlink" Target="https://github.com/Krilliac/Sonder-runtime/blob/main/docs/wiki/08-model-tiers-and-gateway.md" TargetMode="External"/><Relationship Id="rId19" Type="http://schemas.openxmlformats.org/officeDocument/2006/relationships/hyperlink" Target="https://github.com/Krilliac/Sonder-runtime/blob/main/docs/research/evaluation-case-frontier.md" TargetMode="External"/><Relationship Id="rId20" Type="http://schemas.openxmlformats.org/officeDocument/2006/relationships/hyperlink" Target="https://github.com/Krilliac/Sonder-runtime/blob/main/TRAINING.md" TargetMode="External"/><Relationship Id="rId21" Type="http://schemas.openxmlformats.org/officeDocument/2006/relationships/hyperlink" Target="https://github.com/Krilliac/Sonder-runtime/blob/main/permission_modes.py" TargetMode="External"/><Relationship Id="rId22" Type="http://schemas.openxmlformats.org/officeDocument/2006/relationships/hyperlink" Target="https://github.com/Krilliac/Sonder-runtime/blob/main/docs/runbooks/compute-fabric.md" TargetMode="External"/><Relationship Id="rId23" Type="http://schemas.openxmlformats.org/officeDocument/2006/relationships/hyperlink" Target="https://developers.openai.com/blog/codex-as-a-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Sonder Runtime Architecture Handoff and Improvement Roadmap</dc:title>
  <dc:subject>Architecture, harness model, mathematical framing, and improvement plan</dc:subject>
  <dc:creator/>
  <cp:keywords/>
  <dc:description>Prepared from a Codex conversation and a read-only public repository review.</dc:description>
  <cp:lastModifiedBy/>
  <cp:revision>1</cp:revision>
  <dcterms:created xsi:type="dcterms:W3CDTF">2013-12-23T23:15:00Z</dcterms:created>
  <dcterms:modified xsi:type="dcterms:W3CDTF">2013-12-23T23:15:00Z</dcterms:modified>
  <cp:category/>
</cp:coreProperties>
</file>