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47" w:type="dxa"/>
        <w:jc w:val="center"/>
        <w:tblCellSpacing w:w="56" w:type="dxa"/>
        <w:tblLayout w:type="fixed"/>
        <w:tblCellMar>
          <w:left w:w="0" w:type="dxa"/>
          <w:right w:w="0" w:type="dxa"/>
        </w:tblCellMar>
        <w:tblLook w:val="0600" w:firstRow="0" w:lastRow="0" w:firstColumn="0" w:lastColumn="0" w:noHBand="1" w:noVBand="1"/>
      </w:tblPr>
      <w:tblGrid>
        <w:gridCol w:w="679"/>
        <w:gridCol w:w="3399"/>
        <w:gridCol w:w="763"/>
        <w:gridCol w:w="2082"/>
        <w:gridCol w:w="3924"/>
      </w:tblGrid>
      <w:tr w:rsidR="00BC5D08" w:rsidRPr="00BC5D08" w14:paraId="4109C080" w14:textId="77777777" w:rsidTr="00BC5D08">
        <w:trPr>
          <w:trHeight w:val="91"/>
          <w:tblCellSpacing w:w="56" w:type="dxa"/>
          <w:jc w:val="center"/>
        </w:trPr>
        <w:tc>
          <w:tcPr>
            <w:tcW w:w="511" w:type="dxa"/>
            <w:tcBorders>
              <w:top w:val="single" w:sz="4" w:space="0" w:color="FFFFFF"/>
              <w:left w:val="nil"/>
              <w:right w:val="nil"/>
            </w:tcBorders>
            <w:vAlign w:val="center"/>
          </w:tcPr>
          <w:p w14:paraId="67D9F3DF" w14:textId="77777777" w:rsidR="00BC5D08" w:rsidRPr="00BC5D08" w:rsidRDefault="00BC5D08" w:rsidP="00BC5D08">
            <w:pPr>
              <w:spacing w:after="0" w:line="240" w:lineRule="auto"/>
              <w:jc w:val="center"/>
              <w:textAlignment w:val="center"/>
              <w:rPr>
                <w:rFonts w:ascii="Times New Roman" w:eastAsia="Times New Roman" w:hAnsi="Times New Roman" w:cs="Times New Roman"/>
                <w:b/>
                <w:bCs/>
                <w:color w:val="000000"/>
                <w:kern w:val="24"/>
                <w:sz w:val="20"/>
                <w:szCs w:val="20"/>
                <w:lang w:eastAsia="en-GB"/>
              </w:rPr>
            </w:pPr>
            <w:r w:rsidRPr="00BC5D08">
              <w:rPr>
                <w:rFonts w:ascii="Times New Roman" w:eastAsia="Times New Roman" w:hAnsi="Times New Roman" w:cs="Times New Roman"/>
                <w:b/>
                <w:bCs/>
                <w:color w:val="000000"/>
                <w:kern w:val="24"/>
                <w:sz w:val="20"/>
                <w:szCs w:val="20"/>
                <w:lang w:eastAsia="en-GB"/>
              </w:rPr>
              <w:t>No.</w:t>
            </w:r>
          </w:p>
        </w:tc>
        <w:tc>
          <w:tcPr>
            <w:tcW w:w="3287" w:type="dxa"/>
            <w:tcBorders>
              <w:top w:val="single" w:sz="2" w:space="0" w:color="000000"/>
              <w:left w:val="nil"/>
              <w:right w:val="nil"/>
            </w:tcBorders>
            <w:shd w:val="clear" w:color="auto" w:fill="auto"/>
            <w:tcMar>
              <w:top w:w="28" w:type="dxa"/>
              <w:left w:w="28" w:type="dxa"/>
              <w:bottom w:w="28" w:type="dxa"/>
              <w:right w:w="28" w:type="dxa"/>
            </w:tcMar>
            <w:vAlign w:val="center"/>
            <w:hideMark/>
          </w:tcPr>
          <w:p w14:paraId="2F6D9764" w14:textId="77777777" w:rsidR="00BC5D08" w:rsidRPr="00BC5D08" w:rsidRDefault="00BC5D08" w:rsidP="00BC5D08">
            <w:pPr>
              <w:spacing w:after="0" w:line="240" w:lineRule="auto"/>
              <w:jc w:val="center"/>
              <w:textAlignment w:val="center"/>
              <w:rPr>
                <w:rFonts w:ascii="Times New Roman" w:eastAsia="Times New Roman" w:hAnsi="Times New Roman" w:cs="Times New Roman"/>
                <w:b/>
                <w:bCs/>
                <w:sz w:val="20"/>
                <w:szCs w:val="20"/>
                <w:lang w:val="en-GB" w:eastAsia="en-GB"/>
              </w:rPr>
            </w:pPr>
            <w:r w:rsidRPr="00BC5D08">
              <w:rPr>
                <w:rFonts w:ascii="Times New Roman" w:eastAsia="Times New Roman" w:hAnsi="Times New Roman" w:cs="Times New Roman"/>
                <w:b/>
                <w:bCs/>
                <w:color w:val="000000"/>
                <w:kern w:val="24"/>
                <w:sz w:val="20"/>
                <w:szCs w:val="20"/>
                <w:lang w:eastAsia="en-GB"/>
              </w:rPr>
              <w:t>Key Performance Indicator (KPI)</w:t>
            </w:r>
          </w:p>
        </w:tc>
        <w:tc>
          <w:tcPr>
            <w:tcW w:w="651" w:type="dxa"/>
            <w:tcBorders>
              <w:top w:val="single" w:sz="2" w:space="0" w:color="000000"/>
              <w:left w:val="nil"/>
              <w:right w:val="nil"/>
            </w:tcBorders>
            <w:shd w:val="clear" w:color="auto" w:fill="auto"/>
            <w:tcMar>
              <w:top w:w="28" w:type="dxa"/>
              <w:left w:w="28" w:type="dxa"/>
              <w:bottom w:w="28" w:type="dxa"/>
              <w:right w:w="28" w:type="dxa"/>
            </w:tcMar>
            <w:vAlign w:val="center"/>
            <w:hideMark/>
          </w:tcPr>
          <w:p w14:paraId="1A55A7F4" w14:textId="77777777" w:rsidR="00BC5D08" w:rsidRPr="00BC5D08" w:rsidRDefault="00BC5D08" w:rsidP="00BC5D08">
            <w:pPr>
              <w:spacing w:after="0" w:line="240" w:lineRule="auto"/>
              <w:jc w:val="center"/>
              <w:textAlignment w:val="center"/>
              <w:rPr>
                <w:rFonts w:ascii="Times New Roman" w:eastAsia="Times New Roman" w:hAnsi="Times New Roman" w:cs="Times New Roman"/>
                <w:b/>
                <w:bCs/>
                <w:sz w:val="20"/>
                <w:szCs w:val="20"/>
                <w:lang w:val="en-GB" w:eastAsia="en-GB"/>
              </w:rPr>
            </w:pPr>
            <w:r w:rsidRPr="00BC5D08">
              <w:rPr>
                <w:rFonts w:ascii="Times New Roman" w:eastAsia="Times New Roman" w:hAnsi="Times New Roman" w:cs="Times New Roman"/>
                <w:b/>
                <w:bCs/>
                <w:color w:val="000000"/>
                <w:kern w:val="24"/>
                <w:sz w:val="20"/>
                <w:szCs w:val="20"/>
                <w:lang w:eastAsia="en-GB"/>
              </w:rPr>
              <w:t>Unit</w:t>
            </w:r>
          </w:p>
        </w:tc>
        <w:tc>
          <w:tcPr>
            <w:tcW w:w="1970" w:type="dxa"/>
            <w:tcBorders>
              <w:top w:val="single" w:sz="2" w:space="0" w:color="000000"/>
              <w:left w:val="nil"/>
              <w:right w:val="nil"/>
            </w:tcBorders>
            <w:shd w:val="clear" w:color="auto" w:fill="auto"/>
            <w:tcMar>
              <w:top w:w="28" w:type="dxa"/>
              <w:left w:w="28" w:type="dxa"/>
              <w:bottom w:w="28" w:type="dxa"/>
              <w:right w:w="28" w:type="dxa"/>
            </w:tcMar>
            <w:vAlign w:val="center"/>
            <w:hideMark/>
          </w:tcPr>
          <w:p w14:paraId="63190033" w14:textId="77777777" w:rsidR="00BC5D08" w:rsidRPr="00BC5D08" w:rsidRDefault="00BC5D08" w:rsidP="00BC5D08">
            <w:pPr>
              <w:spacing w:after="0" w:line="240" w:lineRule="auto"/>
              <w:jc w:val="center"/>
              <w:textAlignment w:val="bottom"/>
              <w:rPr>
                <w:rFonts w:ascii="Times New Roman" w:eastAsia="Times New Roman" w:hAnsi="Times New Roman" w:cs="Times New Roman"/>
                <w:b/>
                <w:bCs/>
                <w:sz w:val="20"/>
                <w:szCs w:val="20"/>
                <w:lang w:val="en-GB" w:eastAsia="en-GB"/>
              </w:rPr>
            </w:pPr>
            <w:r w:rsidRPr="00BC5D08">
              <w:rPr>
                <w:rFonts w:ascii="Times New Roman" w:eastAsia="Times New Roman" w:hAnsi="Times New Roman" w:cs="Times New Roman"/>
                <w:b/>
                <w:bCs/>
                <w:color w:val="000000"/>
                <w:kern w:val="24"/>
                <w:sz w:val="20"/>
                <w:szCs w:val="20"/>
                <w:lang w:eastAsia="en-GB"/>
              </w:rPr>
              <w:t>Standard/Initiative</w:t>
            </w:r>
          </w:p>
        </w:tc>
        <w:tc>
          <w:tcPr>
            <w:tcW w:w="3756" w:type="dxa"/>
            <w:tcBorders>
              <w:top w:val="single" w:sz="2" w:space="0" w:color="000000"/>
              <w:left w:val="nil"/>
              <w:right w:val="nil"/>
            </w:tcBorders>
            <w:shd w:val="clear" w:color="auto" w:fill="auto"/>
            <w:tcMar>
              <w:top w:w="28" w:type="dxa"/>
              <w:left w:w="28" w:type="dxa"/>
              <w:bottom w:w="28" w:type="dxa"/>
              <w:right w:w="28" w:type="dxa"/>
            </w:tcMar>
            <w:vAlign w:val="center"/>
            <w:hideMark/>
          </w:tcPr>
          <w:p w14:paraId="51298615" w14:textId="77777777" w:rsidR="00BC5D08" w:rsidRPr="00BC5D08" w:rsidRDefault="00BC5D08" w:rsidP="00BC5D08">
            <w:pPr>
              <w:spacing w:after="0" w:line="240" w:lineRule="auto"/>
              <w:jc w:val="center"/>
              <w:textAlignment w:val="bottom"/>
              <w:rPr>
                <w:rFonts w:ascii="Times New Roman" w:eastAsia="Times New Roman" w:hAnsi="Times New Roman" w:cs="Times New Roman"/>
                <w:b/>
                <w:bCs/>
                <w:sz w:val="20"/>
                <w:szCs w:val="20"/>
                <w:lang w:val="en-GB" w:eastAsia="en-GB"/>
              </w:rPr>
            </w:pPr>
            <w:r w:rsidRPr="00BC5D08">
              <w:rPr>
                <w:rFonts w:ascii="Times New Roman" w:eastAsia="Times New Roman" w:hAnsi="Times New Roman" w:cs="Times New Roman"/>
                <w:b/>
                <w:bCs/>
                <w:color w:val="000000"/>
                <w:kern w:val="24"/>
                <w:sz w:val="20"/>
                <w:szCs w:val="20"/>
                <w:lang w:eastAsia="en-GB"/>
              </w:rPr>
              <w:t>Project</w:t>
            </w:r>
          </w:p>
        </w:tc>
      </w:tr>
      <w:tr w:rsidR="00BC5D08" w:rsidRPr="00BC5D08" w14:paraId="40A52032" w14:textId="77777777" w:rsidTr="00BC5D08">
        <w:trPr>
          <w:trHeight w:val="109"/>
          <w:tblCellSpacing w:w="56" w:type="dxa"/>
          <w:jc w:val="center"/>
        </w:trPr>
        <w:tc>
          <w:tcPr>
            <w:tcW w:w="511" w:type="dxa"/>
            <w:tcBorders>
              <w:top w:val="nil"/>
              <w:left w:val="nil"/>
              <w:bottom w:val="nil"/>
              <w:right w:val="nil"/>
            </w:tcBorders>
            <w:shd w:val="clear" w:color="auto" w:fill="auto"/>
            <w:vAlign w:val="center"/>
          </w:tcPr>
          <w:p w14:paraId="2E2AC56B"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000000"/>
                <w:kern w:val="24"/>
                <w:sz w:val="14"/>
                <w:szCs w:val="14"/>
                <w:lang w:val="en-GB" w:eastAsia="en-GB"/>
              </w:rPr>
            </w:pPr>
            <w:r w:rsidRPr="00BC5D08">
              <w:rPr>
                <w:rFonts w:ascii="Times New Roman" w:eastAsia="Times New Roman" w:hAnsi="Times New Roman" w:cs="Times New Roman"/>
                <w:color w:val="000000"/>
                <w:sz w:val="14"/>
                <w:szCs w:val="14"/>
                <w:lang w:eastAsia="it-IT"/>
              </w:rPr>
              <w:t>0.1</w:t>
            </w:r>
          </w:p>
        </w:tc>
        <w:tc>
          <w:tcPr>
            <w:tcW w:w="3287" w:type="dxa"/>
            <w:tcBorders>
              <w:top w:val="nil"/>
              <w:left w:val="nil"/>
              <w:right w:val="nil"/>
            </w:tcBorders>
            <w:shd w:val="clear" w:color="auto" w:fill="auto"/>
            <w:tcMar>
              <w:top w:w="28" w:type="dxa"/>
              <w:left w:w="28" w:type="dxa"/>
              <w:bottom w:w="28" w:type="dxa"/>
              <w:right w:w="28" w:type="dxa"/>
            </w:tcMar>
            <w:vAlign w:val="center"/>
            <w:hideMark/>
          </w:tcPr>
          <w:p w14:paraId="39E46852"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FF0000"/>
                <w:sz w:val="16"/>
                <w:szCs w:val="16"/>
                <w:lang w:val="en-GB" w:eastAsia="en-GB"/>
              </w:rPr>
            </w:pPr>
            <w:r w:rsidRPr="00BC5D08">
              <w:rPr>
                <w:rFonts w:ascii="Times New Roman" w:eastAsia="Times New Roman" w:hAnsi="Times New Roman" w:cs="Times New Roman"/>
                <w:color w:val="FF0000"/>
                <w:kern w:val="24"/>
                <w:sz w:val="16"/>
                <w:szCs w:val="16"/>
                <w:lang w:val="en-GB" w:eastAsia="en-GB"/>
              </w:rPr>
              <w:t>Degree of Final/Primary Energy Self-Supply by RES</w:t>
            </w:r>
          </w:p>
        </w:tc>
        <w:tc>
          <w:tcPr>
            <w:tcW w:w="651" w:type="dxa"/>
            <w:tcBorders>
              <w:top w:val="nil"/>
              <w:left w:val="nil"/>
              <w:right w:val="nil"/>
            </w:tcBorders>
            <w:shd w:val="clear" w:color="auto" w:fill="auto"/>
            <w:tcMar>
              <w:top w:w="28" w:type="dxa"/>
              <w:left w:w="28" w:type="dxa"/>
              <w:bottom w:w="28" w:type="dxa"/>
              <w:right w:w="28" w:type="dxa"/>
            </w:tcMar>
            <w:vAlign w:val="center"/>
            <w:hideMark/>
          </w:tcPr>
          <w:p w14:paraId="0A82F273"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 [kWh/h]</w:t>
            </w:r>
          </w:p>
        </w:tc>
        <w:tc>
          <w:tcPr>
            <w:tcW w:w="1970" w:type="dxa"/>
            <w:tcBorders>
              <w:top w:val="nil"/>
              <w:left w:val="nil"/>
              <w:right w:val="nil"/>
            </w:tcBorders>
            <w:shd w:val="clear" w:color="auto" w:fill="auto"/>
            <w:tcMar>
              <w:top w:w="28" w:type="dxa"/>
              <w:left w:w="28" w:type="dxa"/>
              <w:bottom w:w="28" w:type="dxa"/>
              <w:right w:w="28" w:type="dxa"/>
            </w:tcMar>
            <w:vAlign w:val="center"/>
            <w:hideMark/>
          </w:tcPr>
          <w:p w14:paraId="5C9BE564"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SCIS, CITYkeys, SDG, ISO 37120:2018</w:t>
            </w:r>
          </w:p>
        </w:tc>
        <w:tc>
          <w:tcPr>
            <w:tcW w:w="3756" w:type="dxa"/>
            <w:tcBorders>
              <w:top w:val="nil"/>
              <w:left w:val="nil"/>
              <w:right w:val="nil"/>
            </w:tcBorders>
            <w:shd w:val="clear" w:color="auto" w:fill="auto"/>
            <w:tcMar>
              <w:top w:w="28" w:type="dxa"/>
              <w:left w:w="28" w:type="dxa"/>
              <w:bottom w:w="28" w:type="dxa"/>
              <w:right w:w="28" w:type="dxa"/>
            </w:tcMar>
            <w:vAlign w:val="center"/>
            <w:hideMark/>
          </w:tcPr>
          <w:p w14:paraId="63BC0F55"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POCITYF, REPLICATE, MAtchUP, mySMARTlife, +CityxChange, SmartEnCity, ATELIER, syn.ikia, SPARCS, REMO URBAN, IRIS, Sharing Cities, triangulum, GrowSmarter, RUGGEDISED, RESPONSE, CITyFiED</w:t>
            </w:r>
          </w:p>
        </w:tc>
      </w:tr>
      <w:tr w:rsidR="00BC5D08" w:rsidRPr="00BC5D08" w14:paraId="0031C5D7" w14:textId="77777777" w:rsidTr="00BC5D08">
        <w:trPr>
          <w:trHeight w:val="178"/>
          <w:tblCellSpacing w:w="56" w:type="dxa"/>
          <w:jc w:val="center"/>
        </w:trPr>
        <w:tc>
          <w:tcPr>
            <w:tcW w:w="511" w:type="dxa"/>
            <w:tcBorders>
              <w:top w:val="nil"/>
              <w:left w:val="nil"/>
              <w:bottom w:val="nil"/>
              <w:right w:val="nil"/>
            </w:tcBorders>
            <w:shd w:val="clear" w:color="auto" w:fill="auto"/>
            <w:vAlign w:val="center"/>
          </w:tcPr>
          <w:p w14:paraId="19D102B8"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000000"/>
                <w:kern w:val="24"/>
                <w:sz w:val="14"/>
                <w:szCs w:val="14"/>
                <w:lang w:val="en-GB" w:eastAsia="en-GB"/>
              </w:rPr>
            </w:pPr>
            <w:r w:rsidRPr="00BC5D08">
              <w:rPr>
                <w:rFonts w:ascii="Times New Roman" w:eastAsia="Times New Roman" w:hAnsi="Times New Roman" w:cs="Times New Roman"/>
                <w:color w:val="000000"/>
                <w:sz w:val="14"/>
                <w:szCs w:val="14"/>
                <w:lang w:eastAsia="it-IT"/>
              </w:rPr>
              <w:t>0.2</w:t>
            </w:r>
          </w:p>
        </w:tc>
        <w:tc>
          <w:tcPr>
            <w:tcW w:w="3287" w:type="dxa"/>
            <w:tcBorders>
              <w:top w:val="nil"/>
              <w:left w:val="nil"/>
              <w:bottom w:val="nil"/>
              <w:right w:val="nil"/>
            </w:tcBorders>
            <w:shd w:val="clear" w:color="auto" w:fill="auto"/>
            <w:tcMar>
              <w:top w:w="28" w:type="dxa"/>
              <w:left w:w="28" w:type="dxa"/>
              <w:bottom w:w="28" w:type="dxa"/>
              <w:right w:w="28" w:type="dxa"/>
            </w:tcMar>
            <w:vAlign w:val="center"/>
            <w:hideMark/>
          </w:tcPr>
          <w:p w14:paraId="02621D8C"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FF0000"/>
                <w:sz w:val="16"/>
                <w:szCs w:val="16"/>
                <w:lang w:val="en-GB" w:eastAsia="en-GB"/>
              </w:rPr>
            </w:pPr>
            <w:r w:rsidRPr="00BC5D08">
              <w:rPr>
                <w:rFonts w:ascii="Times New Roman" w:eastAsia="Times New Roman" w:hAnsi="Times New Roman" w:cs="Times New Roman"/>
                <w:color w:val="FF0000"/>
                <w:kern w:val="24"/>
                <w:sz w:val="16"/>
                <w:szCs w:val="16"/>
                <w:lang w:val="en-GB" w:eastAsia="en-GB"/>
              </w:rPr>
              <w:t>Self Generation factor/Load Cover Factor</w:t>
            </w:r>
          </w:p>
        </w:tc>
        <w:tc>
          <w:tcPr>
            <w:tcW w:w="651" w:type="dxa"/>
            <w:tcBorders>
              <w:top w:val="nil"/>
              <w:left w:val="nil"/>
              <w:bottom w:val="nil"/>
              <w:right w:val="nil"/>
            </w:tcBorders>
            <w:shd w:val="clear" w:color="auto" w:fill="auto"/>
            <w:tcMar>
              <w:top w:w="28" w:type="dxa"/>
              <w:left w:w="28" w:type="dxa"/>
              <w:bottom w:w="28" w:type="dxa"/>
              <w:right w:w="28" w:type="dxa"/>
            </w:tcMar>
            <w:vAlign w:val="center"/>
            <w:hideMark/>
          </w:tcPr>
          <w:p w14:paraId="09142907"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w:t>
            </w:r>
          </w:p>
        </w:tc>
        <w:tc>
          <w:tcPr>
            <w:tcW w:w="1970" w:type="dxa"/>
            <w:tcBorders>
              <w:top w:val="nil"/>
              <w:left w:val="nil"/>
              <w:bottom w:val="nil"/>
              <w:right w:val="nil"/>
            </w:tcBorders>
            <w:shd w:val="clear" w:color="auto" w:fill="auto"/>
            <w:tcMar>
              <w:top w:w="28" w:type="dxa"/>
              <w:left w:w="28" w:type="dxa"/>
              <w:bottom w:w="28" w:type="dxa"/>
              <w:right w:w="28" w:type="dxa"/>
            </w:tcMar>
            <w:vAlign w:val="center"/>
            <w:hideMark/>
          </w:tcPr>
          <w:p w14:paraId="6576A89E" w14:textId="77777777" w:rsidR="00BC5D08" w:rsidRPr="00BC5D08" w:rsidRDefault="00BC5D08" w:rsidP="00BC5D08">
            <w:pPr>
              <w:spacing w:after="0" w:line="240" w:lineRule="auto"/>
              <w:jc w:val="center"/>
              <w:rPr>
                <w:rFonts w:ascii="Times New Roman" w:eastAsia="Times New Roman" w:hAnsi="Times New Roman" w:cs="Times New Roman"/>
                <w:sz w:val="16"/>
                <w:szCs w:val="16"/>
                <w:lang w:val="en-GB" w:eastAsia="en-GB"/>
              </w:rPr>
            </w:pPr>
          </w:p>
        </w:tc>
        <w:tc>
          <w:tcPr>
            <w:tcW w:w="3756" w:type="dxa"/>
            <w:tcBorders>
              <w:top w:val="nil"/>
              <w:left w:val="nil"/>
              <w:bottom w:val="nil"/>
              <w:right w:val="nil"/>
            </w:tcBorders>
            <w:shd w:val="clear" w:color="auto" w:fill="auto"/>
            <w:tcMar>
              <w:top w:w="28" w:type="dxa"/>
              <w:left w:w="28" w:type="dxa"/>
              <w:bottom w:w="28" w:type="dxa"/>
              <w:right w:w="28" w:type="dxa"/>
            </w:tcMar>
            <w:vAlign w:val="center"/>
            <w:hideMark/>
          </w:tcPr>
          <w:p w14:paraId="142F9347"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POCITYF, +CityxChange, syn.ikia, SPARCS, TRANS-PED</w:t>
            </w:r>
          </w:p>
        </w:tc>
      </w:tr>
      <w:tr w:rsidR="00BC5D08" w:rsidRPr="00BC5D08" w14:paraId="58B88F7B" w14:textId="77777777" w:rsidTr="00BC5D08">
        <w:trPr>
          <w:trHeight w:val="335"/>
          <w:tblCellSpacing w:w="56" w:type="dxa"/>
          <w:jc w:val="center"/>
        </w:trPr>
        <w:tc>
          <w:tcPr>
            <w:tcW w:w="511" w:type="dxa"/>
            <w:tcBorders>
              <w:top w:val="nil"/>
              <w:left w:val="nil"/>
              <w:bottom w:val="nil"/>
              <w:right w:val="nil"/>
            </w:tcBorders>
            <w:shd w:val="clear" w:color="auto" w:fill="auto"/>
            <w:vAlign w:val="center"/>
          </w:tcPr>
          <w:p w14:paraId="107F81AE"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000000"/>
                <w:kern w:val="24"/>
                <w:sz w:val="14"/>
                <w:szCs w:val="14"/>
                <w:lang w:val="en-GB" w:eastAsia="en-GB"/>
              </w:rPr>
            </w:pPr>
            <w:r w:rsidRPr="00BC5D08">
              <w:rPr>
                <w:rFonts w:ascii="Times New Roman" w:eastAsia="Times New Roman" w:hAnsi="Times New Roman" w:cs="Times New Roman"/>
                <w:color w:val="000000"/>
                <w:sz w:val="14"/>
                <w:szCs w:val="14"/>
                <w:lang w:eastAsia="it-IT"/>
              </w:rPr>
              <w:t>0.3</w:t>
            </w:r>
          </w:p>
        </w:tc>
        <w:tc>
          <w:tcPr>
            <w:tcW w:w="3287" w:type="dxa"/>
            <w:tcBorders>
              <w:top w:val="nil"/>
              <w:left w:val="nil"/>
              <w:bottom w:val="nil"/>
              <w:right w:val="nil"/>
            </w:tcBorders>
            <w:shd w:val="clear" w:color="auto" w:fill="auto"/>
            <w:tcMar>
              <w:top w:w="28" w:type="dxa"/>
              <w:left w:w="28" w:type="dxa"/>
              <w:bottom w:w="28" w:type="dxa"/>
              <w:right w:w="28" w:type="dxa"/>
            </w:tcMar>
            <w:vAlign w:val="center"/>
            <w:hideMark/>
          </w:tcPr>
          <w:p w14:paraId="069EA903"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FF0000"/>
                <w:sz w:val="16"/>
                <w:szCs w:val="16"/>
                <w:lang w:val="en-GB" w:eastAsia="en-GB"/>
              </w:rPr>
            </w:pPr>
            <w:commentRangeStart w:id="0"/>
            <w:r w:rsidRPr="00BC5D08">
              <w:rPr>
                <w:rFonts w:ascii="Times New Roman" w:eastAsia="Times New Roman" w:hAnsi="Times New Roman" w:cs="Times New Roman"/>
                <w:color w:val="FF0000"/>
                <w:kern w:val="24"/>
                <w:sz w:val="16"/>
                <w:szCs w:val="16"/>
                <w:lang w:val="en-GB" w:eastAsia="en-GB"/>
              </w:rPr>
              <w:t>Self Consumption factor/Supply Cover Factor</w:t>
            </w:r>
            <w:commentRangeEnd w:id="0"/>
            <w:r w:rsidRPr="00BC5D08">
              <w:rPr>
                <w:rFonts w:ascii="Times New Roman" w:eastAsia="Times New Roman" w:hAnsi="Times New Roman" w:cs="Times New Roman"/>
                <w:color w:val="FF0000"/>
                <w:sz w:val="16"/>
                <w:szCs w:val="16"/>
                <w:lang w:eastAsia="it-IT"/>
              </w:rPr>
              <w:commentReference w:id="0"/>
            </w:r>
          </w:p>
        </w:tc>
        <w:tc>
          <w:tcPr>
            <w:tcW w:w="651" w:type="dxa"/>
            <w:tcBorders>
              <w:top w:val="nil"/>
              <w:left w:val="nil"/>
              <w:bottom w:val="nil"/>
              <w:right w:val="nil"/>
            </w:tcBorders>
            <w:shd w:val="clear" w:color="auto" w:fill="auto"/>
            <w:tcMar>
              <w:top w:w="28" w:type="dxa"/>
              <w:left w:w="28" w:type="dxa"/>
              <w:bottom w:w="28" w:type="dxa"/>
              <w:right w:w="28" w:type="dxa"/>
            </w:tcMar>
            <w:vAlign w:val="center"/>
            <w:hideMark/>
          </w:tcPr>
          <w:p w14:paraId="0FC68DCC"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w:t>
            </w:r>
          </w:p>
        </w:tc>
        <w:tc>
          <w:tcPr>
            <w:tcW w:w="1970" w:type="dxa"/>
            <w:tcBorders>
              <w:top w:val="nil"/>
              <w:left w:val="nil"/>
              <w:bottom w:val="nil"/>
              <w:right w:val="nil"/>
            </w:tcBorders>
            <w:shd w:val="clear" w:color="auto" w:fill="auto"/>
            <w:tcMar>
              <w:top w:w="28" w:type="dxa"/>
              <w:left w:w="28" w:type="dxa"/>
              <w:bottom w:w="28" w:type="dxa"/>
              <w:right w:w="28" w:type="dxa"/>
            </w:tcMar>
            <w:vAlign w:val="center"/>
            <w:hideMark/>
          </w:tcPr>
          <w:p w14:paraId="4F3A8F80" w14:textId="77777777" w:rsidR="00BC5D08" w:rsidRPr="00BC5D08" w:rsidRDefault="00BC5D08" w:rsidP="00BC5D08">
            <w:pPr>
              <w:spacing w:after="0" w:line="240" w:lineRule="auto"/>
              <w:jc w:val="center"/>
              <w:rPr>
                <w:rFonts w:ascii="Times New Roman" w:eastAsia="Times New Roman" w:hAnsi="Times New Roman" w:cs="Times New Roman"/>
                <w:sz w:val="16"/>
                <w:szCs w:val="16"/>
                <w:lang w:val="en-GB" w:eastAsia="en-GB"/>
              </w:rPr>
            </w:pPr>
          </w:p>
        </w:tc>
        <w:tc>
          <w:tcPr>
            <w:tcW w:w="3756" w:type="dxa"/>
            <w:tcBorders>
              <w:top w:val="nil"/>
              <w:left w:val="nil"/>
              <w:bottom w:val="nil"/>
              <w:right w:val="nil"/>
            </w:tcBorders>
            <w:shd w:val="clear" w:color="auto" w:fill="auto"/>
            <w:tcMar>
              <w:top w:w="28" w:type="dxa"/>
              <w:left w:w="28" w:type="dxa"/>
              <w:bottom w:w="28" w:type="dxa"/>
              <w:right w:w="28" w:type="dxa"/>
            </w:tcMar>
            <w:vAlign w:val="center"/>
            <w:hideMark/>
          </w:tcPr>
          <w:p w14:paraId="149FFCF9"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POCITYF, +CityxChange, syn.ikia, SPARCS, RUGGEDISED, CITyFiED, TRANS-PED</w:t>
            </w:r>
          </w:p>
        </w:tc>
      </w:tr>
      <w:tr w:rsidR="00BC5D08" w:rsidRPr="00BC5D08" w14:paraId="2379C5A9" w14:textId="77777777" w:rsidTr="00BC5D08">
        <w:trPr>
          <w:trHeight w:val="512"/>
          <w:tblCellSpacing w:w="56" w:type="dxa"/>
          <w:jc w:val="center"/>
        </w:trPr>
        <w:tc>
          <w:tcPr>
            <w:tcW w:w="511" w:type="dxa"/>
            <w:tcBorders>
              <w:top w:val="nil"/>
              <w:left w:val="nil"/>
              <w:bottom w:val="nil"/>
              <w:right w:val="nil"/>
            </w:tcBorders>
            <w:shd w:val="clear" w:color="auto" w:fill="auto"/>
            <w:vAlign w:val="center"/>
          </w:tcPr>
          <w:p w14:paraId="3B655646"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000000"/>
                <w:kern w:val="24"/>
                <w:sz w:val="14"/>
                <w:szCs w:val="14"/>
                <w:lang w:val="en-GB" w:eastAsia="en-GB"/>
              </w:rPr>
            </w:pPr>
            <w:r w:rsidRPr="00BC5D08">
              <w:rPr>
                <w:rFonts w:ascii="Times New Roman" w:eastAsia="Times New Roman" w:hAnsi="Times New Roman" w:cs="Times New Roman"/>
                <w:color w:val="000000"/>
                <w:sz w:val="14"/>
                <w:szCs w:val="14"/>
                <w:lang w:eastAsia="it-IT"/>
              </w:rPr>
              <w:t>0.4</w:t>
            </w:r>
          </w:p>
        </w:tc>
        <w:tc>
          <w:tcPr>
            <w:tcW w:w="3287" w:type="dxa"/>
            <w:tcBorders>
              <w:top w:val="nil"/>
              <w:left w:val="nil"/>
              <w:bottom w:val="single" w:sz="4" w:space="0" w:color="auto"/>
              <w:right w:val="nil"/>
            </w:tcBorders>
            <w:shd w:val="clear" w:color="auto" w:fill="auto"/>
            <w:tcMar>
              <w:top w:w="28" w:type="dxa"/>
              <w:left w:w="28" w:type="dxa"/>
              <w:bottom w:w="28" w:type="dxa"/>
              <w:right w:w="28" w:type="dxa"/>
            </w:tcMar>
            <w:vAlign w:val="center"/>
            <w:hideMark/>
          </w:tcPr>
          <w:p w14:paraId="39AB872F" w14:textId="77777777" w:rsidR="00BC5D08" w:rsidRPr="00BC5D08" w:rsidRDefault="00BC5D08" w:rsidP="00BC5D08">
            <w:pPr>
              <w:spacing w:after="0" w:line="240" w:lineRule="auto"/>
              <w:jc w:val="center"/>
              <w:textAlignment w:val="center"/>
              <w:rPr>
                <w:rFonts w:ascii="Times New Roman" w:eastAsia="Times New Roman" w:hAnsi="Times New Roman" w:cs="Times New Roman"/>
                <w:color w:val="FF0000"/>
                <w:sz w:val="16"/>
                <w:szCs w:val="16"/>
                <w:lang w:val="en-GB" w:eastAsia="en-GB"/>
              </w:rPr>
            </w:pPr>
            <w:r w:rsidRPr="00BC5D08">
              <w:rPr>
                <w:rFonts w:ascii="Times New Roman" w:eastAsia="Times New Roman" w:hAnsi="Times New Roman" w:cs="Times New Roman"/>
                <w:color w:val="FF0000"/>
                <w:kern w:val="24"/>
                <w:sz w:val="16"/>
                <w:szCs w:val="16"/>
                <w:lang w:val="en-GB" w:eastAsia="en-GB"/>
              </w:rPr>
              <w:t>Peak Imported/Exported Power (max, Pnet,max, and min, Pnet,min, values of the Net Energy Duration Curve)</w:t>
            </w:r>
          </w:p>
        </w:tc>
        <w:tc>
          <w:tcPr>
            <w:tcW w:w="651" w:type="dxa"/>
            <w:tcBorders>
              <w:top w:val="nil"/>
              <w:left w:val="nil"/>
              <w:bottom w:val="single" w:sz="4" w:space="0" w:color="auto"/>
              <w:right w:val="nil"/>
            </w:tcBorders>
            <w:shd w:val="clear" w:color="auto" w:fill="auto"/>
            <w:tcMar>
              <w:top w:w="28" w:type="dxa"/>
              <w:left w:w="28" w:type="dxa"/>
              <w:bottom w:w="28" w:type="dxa"/>
              <w:right w:w="28" w:type="dxa"/>
            </w:tcMar>
            <w:vAlign w:val="center"/>
            <w:hideMark/>
          </w:tcPr>
          <w:p w14:paraId="046DE20E"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[kW], [kW/m</w:t>
            </w:r>
            <w:r w:rsidRPr="00BC5D08">
              <w:rPr>
                <w:rFonts w:ascii="Times New Roman" w:eastAsia="Times New Roman" w:hAnsi="Times New Roman" w:cs="Times New Roman"/>
                <w:color w:val="000000"/>
                <w:kern w:val="24"/>
                <w:position w:val="1"/>
                <w:sz w:val="16"/>
                <w:szCs w:val="16"/>
                <w:vertAlign w:val="superscript"/>
                <w:lang w:val="en-GB" w:eastAsia="en-GB"/>
              </w:rPr>
              <w:t>2</w:t>
            </w:r>
            <w:r w:rsidRPr="00BC5D08">
              <w:rPr>
                <w:rFonts w:ascii="Times New Roman" w:eastAsia="Times New Roman" w:hAnsi="Times New Roman" w:cs="Times New Roman"/>
                <w:color w:val="000000"/>
                <w:kern w:val="24"/>
                <w:sz w:val="16"/>
                <w:szCs w:val="16"/>
                <w:lang w:val="en-GB" w:eastAsia="en-GB"/>
              </w:rPr>
              <w:t>]</w:t>
            </w:r>
          </w:p>
        </w:tc>
        <w:tc>
          <w:tcPr>
            <w:tcW w:w="1970" w:type="dxa"/>
            <w:tcBorders>
              <w:top w:val="nil"/>
              <w:left w:val="nil"/>
              <w:bottom w:val="single" w:sz="4" w:space="0" w:color="auto"/>
              <w:right w:val="nil"/>
            </w:tcBorders>
            <w:shd w:val="clear" w:color="auto" w:fill="auto"/>
            <w:tcMar>
              <w:top w:w="28" w:type="dxa"/>
              <w:left w:w="28" w:type="dxa"/>
              <w:bottom w:w="28" w:type="dxa"/>
              <w:right w:w="28" w:type="dxa"/>
            </w:tcMar>
            <w:vAlign w:val="center"/>
            <w:hideMark/>
          </w:tcPr>
          <w:p w14:paraId="0685ED9C" w14:textId="77777777" w:rsidR="00BC5D08" w:rsidRPr="00BC5D08" w:rsidRDefault="00BC5D08" w:rsidP="00BC5D08">
            <w:pPr>
              <w:spacing w:after="0" w:line="240" w:lineRule="auto"/>
              <w:jc w:val="center"/>
              <w:rPr>
                <w:rFonts w:ascii="Times New Roman" w:eastAsia="Times New Roman" w:hAnsi="Times New Roman" w:cs="Times New Roman"/>
                <w:sz w:val="16"/>
                <w:szCs w:val="16"/>
                <w:lang w:val="en-GB" w:eastAsia="en-GB"/>
              </w:rPr>
            </w:pPr>
          </w:p>
        </w:tc>
        <w:tc>
          <w:tcPr>
            <w:tcW w:w="3756" w:type="dxa"/>
            <w:tcBorders>
              <w:top w:val="nil"/>
              <w:left w:val="nil"/>
              <w:bottom w:val="single" w:sz="4" w:space="0" w:color="auto"/>
              <w:right w:val="nil"/>
            </w:tcBorders>
            <w:shd w:val="clear" w:color="auto" w:fill="auto"/>
            <w:tcMar>
              <w:top w:w="28" w:type="dxa"/>
              <w:left w:w="28" w:type="dxa"/>
              <w:bottom w:w="28" w:type="dxa"/>
              <w:right w:w="28" w:type="dxa"/>
            </w:tcMar>
            <w:vAlign w:val="center"/>
            <w:hideMark/>
          </w:tcPr>
          <w:p w14:paraId="5AF927D4" w14:textId="77777777" w:rsidR="00BC5D08" w:rsidRPr="00BC5D08" w:rsidRDefault="00BC5D08" w:rsidP="00BC5D08">
            <w:pPr>
              <w:spacing w:after="0" w:line="240" w:lineRule="auto"/>
              <w:jc w:val="center"/>
              <w:textAlignment w:val="center"/>
              <w:rPr>
                <w:rFonts w:ascii="Times New Roman" w:eastAsia="Times New Roman" w:hAnsi="Times New Roman" w:cs="Times New Roman"/>
                <w:sz w:val="16"/>
                <w:szCs w:val="16"/>
                <w:lang w:val="en-GB" w:eastAsia="en-GB"/>
              </w:rPr>
            </w:pPr>
            <w:r w:rsidRPr="00BC5D08">
              <w:rPr>
                <w:rFonts w:ascii="Times New Roman" w:eastAsia="Times New Roman" w:hAnsi="Times New Roman" w:cs="Times New Roman"/>
                <w:color w:val="000000"/>
                <w:kern w:val="24"/>
                <w:sz w:val="16"/>
                <w:szCs w:val="16"/>
                <w:lang w:val="en-GB" w:eastAsia="en-GB"/>
              </w:rPr>
              <w:t>syn.ikia, ATELIER, IRIS</w:t>
            </w:r>
          </w:p>
        </w:tc>
      </w:tr>
    </w:tbl>
    <w:p w14:paraId="193EDD9E" w14:textId="77777777" w:rsidR="00BC5D08" w:rsidRDefault="00BC5D08" w:rsidP="008C040B">
      <w:pPr>
        <w:spacing w:after="0" w:line="276" w:lineRule="auto"/>
        <w:jc w:val="both"/>
        <w:rPr>
          <w:rFonts w:ascii="Times New Roman" w:eastAsia="Calibri" w:hAnsi="Times New Roman" w:cs="Times New Roman"/>
          <w:noProof/>
          <w:sz w:val="24"/>
          <w:szCs w:val="20"/>
          <w:lang w:val="en-GB"/>
        </w:rPr>
      </w:pPr>
    </w:p>
    <w:p w14:paraId="3BA28D20" w14:textId="77777777" w:rsidR="00BC5D08" w:rsidRDefault="00BC5D08" w:rsidP="008C040B">
      <w:pPr>
        <w:spacing w:after="0" w:line="276" w:lineRule="auto"/>
        <w:jc w:val="both"/>
        <w:rPr>
          <w:rFonts w:ascii="Times New Roman" w:eastAsia="Calibri" w:hAnsi="Times New Roman" w:cs="Times New Roman"/>
          <w:noProof/>
          <w:sz w:val="24"/>
          <w:szCs w:val="20"/>
          <w:lang w:val="en-GB"/>
        </w:rPr>
      </w:pPr>
    </w:p>
    <w:p w14:paraId="1A1429EA" w14:textId="08D70334" w:rsidR="00CA7A69" w:rsidRPr="00CA7A69" w:rsidRDefault="00CA7A69" w:rsidP="008C040B">
      <w:pPr>
        <w:spacing w:after="0" w:line="276" w:lineRule="auto"/>
        <w:jc w:val="both"/>
        <w:rPr>
          <w:rFonts w:ascii="Times New Roman" w:eastAsia="Calibri" w:hAnsi="Times New Roman" w:cs="Times New Roman"/>
          <w:noProof/>
          <w:sz w:val="24"/>
          <w:szCs w:val="20"/>
          <w:lang w:val="en-GB"/>
        </w:rPr>
      </w:pPr>
      <w:r w:rsidRPr="00CA7A69">
        <w:rPr>
          <w:rFonts w:ascii="Times New Roman" w:eastAsia="Calibri" w:hAnsi="Times New Roman" w:cs="Times New Roman"/>
          <w:noProof/>
          <w:sz w:val="24"/>
          <w:szCs w:val="20"/>
          <w:lang w:val="en-GB"/>
        </w:rPr>
        <w:t xml:space="preserve">The literture review on the quantification of energy flexibily was complemented by a search conducted in Scopus database. It emerges that the topic is mostly addressed at the signle building scale through the definition of specific KPIs. </w:t>
      </w:r>
    </w:p>
    <w:p w14:paraId="1298BF11" w14:textId="7993C3B5" w:rsidR="00CA7A69" w:rsidRPr="00CA7A69" w:rsidRDefault="00CA7A69" w:rsidP="008C040B">
      <w:pPr>
        <w:spacing w:after="0" w:line="276" w:lineRule="auto"/>
        <w:jc w:val="both"/>
        <w:rPr>
          <w:rFonts w:ascii="Times New Roman" w:eastAsia="Calibri" w:hAnsi="Times New Roman" w:cs="Times New Roman"/>
          <w:sz w:val="20"/>
          <w:lang w:val="en-GB"/>
        </w:rPr>
      </w:pPr>
      <w:r w:rsidRPr="00CA7A69">
        <w:rPr>
          <w:rFonts w:ascii="Times New Roman" w:eastAsia="Calibri" w:hAnsi="Times New Roman" w:cs="Times New Roman"/>
          <w:noProof/>
          <w:sz w:val="24"/>
          <w:szCs w:val="20"/>
          <w:lang w:val="en-GB"/>
        </w:rPr>
        <w:t>Table 2</w:t>
      </w:r>
      <w:r w:rsidR="008C040B">
        <w:rPr>
          <w:rFonts w:ascii="Times New Roman" w:eastAsia="Calibri" w:hAnsi="Times New Roman" w:cs="Times New Roman"/>
          <w:noProof/>
          <w:sz w:val="24"/>
          <w:szCs w:val="20"/>
          <w:lang w:val="en-GB"/>
        </w:rPr>
        <w:t xml:space="preserve"> </w:t>
      </w:r>
      <w:r w:rsidRPr="00CA7A69">
        <w:rPr>
          <w:rFonts w:ascii="Times New Roman" w:eastAsia="Calibri" w:hAnsi="Times New Roman" w:cs="Times New Roman"/>
          <w:noProof/>
          <w:sz w:val="24"/>
          <w:szCs w:val="20"/>
          <w:lang w:val="en-GB"/>
        </w:rPr>
        <w:t xml:space="preserve">summarizes the  KPIs related to the energy flexibility of buildings defined within the relevant literature studies retrieved. </w:t>
      </w:r>
    </w:p>
    <w:p w14:paraId="08E6A67A" w14:textId="77777777" w:rsidR="00CA7A69" w:rsidRPr="00CA7A69" w:rsidRDefault="00CA7A69" w:rsidP="00CA7A69">
      <w:pPr>
        <w:spacing w:after="0" w:line="240" w:lineRule="auto"/>
        <w:jc w:val="both"/>
        <w:rPr>
          <w:rFonts w:ascii="Times New Roman" w:eastAsia="Calibri" w:hAnsi="Times New Roman" w:cs="Times New Roman"/>
          <w:sz w:val="24"/>
          <w:szCs w:val="20"/>
          <w:lang w:val="en-GB"/>
        </w:rPr>
        <w:sectPr w:rsidR="00CA7A69" w:rsidRPr="00CA7A69" w:rsidSect="00CA7A69">
          <w:pgSz w:w="11907" w:h="16839" w:code="9"/>
          <w:pgMar w:top="2268" w:right="1701" w:bottom="2268" w:left="1701" w:header="1134" w:footer="1134" w:gutter="567"/>
          <w:pgNumType w:start="97"/>
          <w:cols w:space="720"/>
          <w:titlePg/>
          <w:docGrid w:linePitch="326"/>
        </w:sectPr>
      </w:pPr>
    </w:p>
    <w:p w14:paraId="138D4BBF" w14:textId="4AC23446" w:rsidR="00CA7A69" w:rsidRPr="00CA7A69" w:rsidRDefault="00CA7A69" w:rsidP="00CA7A69">
      <w:pPr>
        <w:keepNext/>
        <w:spacing w:before="240" w:after="0" w:line="360" w:lineRule="auto"/>
        <w:jc w:val="center"/>
        <w:rPr>
          <w:rFonts w:ascii="Times New Roman" w:eastAsia="Calibri" w:hAnsi="Times New Roman" w:cs="Times New Roman"/>
          <w:b/>
          <w:bCs/>
          <w:sz w:val="20"/>
          <w:szCs w:val="20"/>
          <w:lang w:val="en-GB" w:eastAsia="it-IT"/>
        </w:rPr>
      </w:pPr>
      <w:bookmarkStart w:id="1" w:name="_Toc137677525"/>
      <w:r w:rsidRPr="00CA7A69">
        <w:rPr>
          <w:rFonts w:ascii="Times New Roman" w:eastAsia="Calibri" w:hAnsi="Times New Roman" w:cs="Times New Roman"/>
          <w:b/>
          <w:bCs/>
          <w:sz w:val="20"/>
          <w:szCs w:val="20"/>
          <w:lang w:val="en-GB" w:eastAsia="it-IT"/>
        </w:rPr>
        <w:lastRenderedPageBreak/>
        <w:t>Table 2: Overview of the energy flexibility KPIs proposed within some relevant literature experience.</w:t>
      </w:r>
      <w:bookmarkEnd w:id="1"/>
    </w:p>
    <w:tbl>
      <w:tblPr>
        <w:tblStyle w:val="TableGrid"/>
        <w:tblW w:w="14338" w:type="dxa"/>
        <w:jc w:val="center"/>
        <w:tblLayout w:type="fixed"/>
        <w:tblLook w:val="04A0" w:firstRow="1" w:lastRow="0" w:firstColumn="1" w:lastColumn="0" w:noHBand="0" w:noVBand="1"/>
      </w:tblPr>
      <w:tblGrid>
        <w:gridCol w:w="546"/>
        <w:gridCol w:w="3024"/>
        <w:gridCol w:w="3964"/>
        <w:gridCol w:w="5391"/>
        <w:gridCol w:w="1413"/>
      </w:tblGrid>
      <w:tr w:rsidR="00CA7A69" w:rsidRPr="00CA7A69" w14:paraId="47AC812F" w14:textId="77777777" w:rsidTr="00117EAB">
        <w:trPr>
          <w:trHeight w:val="306"/>
          <w:jc w:val="center"/>
        </w:trPr>
        <w:tc>
          <w:tcPr>
            <w:tcW w:w="546" w:type="dxa"/>
            <w:tcBorders>
              <w:top w:val="single" w:sz="4" w:space="0" w:color="auto"/>
              <w:left w:val="nil"/>
              <w:bottom w:val="single" w:sz="4" w:space="0" w:color="auto"/>
              <w:right w:val="nil"/>
            </w:tcBorders>
            <w:vAlign w:val="center"/>
          </w:tcPr>
          <w:p w14:paraId="2E9FA56C" w14:textId="77777777" w:rsidR="00CA7A69" w:rsidRPr="00CA7A69" w:rsidRDefault="00CA7A69" w:rsidP="00CA7A69">
            <w:pPr>
              <w:spacing w:line="360" w:lineRule="auto"/>
              <w:jc w:val="both"/>
              <w:rPr>
                <w:rFonts w:ascii="Palatino Linotype" w:hAnsi="Palatino Linotype"/>
                <w:b/>
                <w:bCs/>
                <w:color w:val="0D0D0D"/>
                <w:sz w:val="14"/>
                <w:szCs w:val="16"/>
              </w:rPr>
            </w:pPr>
            <w:r w:rsidRPr="00CA7A69">
              <w:rPr>
                <w:rFonts w:ascii="Palatino Linotype" w:hAnsi="Palatino Linotype"/>
                <w:b/>
                <w:bCs/>
                <w:color w:val="0D0D0D"/>
                <w:sz w:val="18"/>
              </w:rPr>
              <w:t>No.</w:t>
            </w:r>
          </w:p>
        </w:tc>
        <w:tc>
          <w:tcPr>
            <w:tcW w:w="3024" w:type="dxa"/>
            <w:tcBorders>
              <w:top w:val="single" w:sz="4" w:space="0" w:color="auto"/>
              <w:left w:val="nil"/>
              <w:bottom w:val="single" w:sz="4" w:space="0" w:color="auto"/>
              <w:right w:val="nil"/>
            </w:tcBorders>
            <w:tcMar>
              <w:top w:w="57" w:type="dxa"/>
              <w:bottom w:w="57" w:type="dxa"/>
            </w:tcMar>
            <w:vAlign w:val="center"/>
          </w:tcPr>
          <w:p w14:paraId="3D99DB34" w14:textId="77777777" w:rsidR="00CA7A69" w:rsidRPr="00CA7A69" w:rsidRDefault="00CA7A69" w:rsidP="00CA7A69">
            <w:pPr>
              <w:spacing w:line="360" w:lineRule="auto"/>
              <w:jc w:val="center"/>
              <w:rPr>
                <w:rFonts w:ascii="Palatino Linotype" w:hAnsi="Palatino Linotype"/>
                <w:b/>
                <w:bCs/>
                <w:color w:val="0D0D0D"/>
                <w:sz w:val="18"/>
              </w:rPr>
            </w:pPr>
            <w:r w:rsidRPr="00CA7A69">
              <w:rPr>
                <w:rFonts w:ascii="Palatino Linotype" w:hAnsi="Palatino Linotype"/>
                <w:b/>
                <w:bCs/>
                <w:color w:val="0D0D0D"/>
                <w:sz w:val="18"/>
              </w:rPr>
              <w:t>KPI</w:t>
            </w:r>
          </w:p>
        </w:tc>
        <w:tc>
          <w:tcPr>
            <w:tcW w:w="3964" w:type="dxa"/>
            <w:tcBorders>
              <w:top w:val="single" w:sz="4" w:space="0" w:color="auto"/>
              <w:left w:val="nil"/>
              <w:bottom w:val="single" w:sz="4" w:space="0" w:color="auto"/>
              <w:right w:val="nil"/>
            </w:tcBorders>
            <w:tcMar>
              <w:top w:w="57" w:type="dxa"/>
              <w:bottom w:w="57" w:type="dxa"/>
            </w:tcMar>
            <w:vAlign w:val="center"/>
          </w:tcPr>
          <w:p w14:paraId="527B31DB" w14:textId="77777777" w:rsidR="00CA7A69" w:rsidRPr="00CA7A69" w:rsidRDefault="00CA7A69" w:rsidP="00CA7A69">
            <w:pPr>
              <w:spacing w:line="360" w:lineRule="auto"/>
              <w:jc w:val="center"/>
              <w:rPr>
                <w:rFonts w:ascii="Palatino Linotype" w:hAnsi="Palatino Linotype"/>
                <w:b/>
                <w:bCs/>
                <w:color w:val="0D0D0D"/>
                <w:sz w:val="18"/>
              </w:rPr>
            </w:pPr>
            <w:r w:rsidRPr="00CA7A69">
              <w:rPr>
                <w:rFonts w:ascii="Palatino Linotype" w:hAnsi="Palatino Linotype"/>
                <w:b/>
                <w:bCs/>
                <w:color w:val="0D0D0D"/>
                <w:sz w:val="18"/>
              </w:rPr>
              <w:t>Equation</w:t>
            </w:r>
          </w:p>
        </w:tc>
        <w:tc>
          <w:tcPr>
            <w:tcW w:w="5391" w:type="dxa"/>
            <w:tcBorders>
              <w:top w:val="single" w:sz="4" w:space="0" w:color="auto"/>
              <w:left w:val="nil"/>
              <w:bottom w:val="single" w:sz="4" w:space="0" w:color="auto"/>
              <w:right w:val="nil"/>
            </w:tcBorders>
            <w:vAlign w:val="center"/>
          </w:tcPr>
          <w:p w14:paraId="5B3481D6" w14:textId="77777777" w:rsidR="00CA7A69" w:rsidRPr="00CA7A69" w:rsidRDefault="00CA7A69" w:rsidP="00CA7A69">
            <w:pPr>
              <w:spacing w:line="360" w:lineRule="auto"/>
              <w:jc w:val="both"/>
              <w:rPr>
                <w:rFonts w:ascii="Palatino Linotype" w:hAnsi="Palatino Linotype"/>
                <w:b/>
                <w:bCs/>
                <w:color w:val="0D0D0D"/>
                <w:sz w:val="18"/>
              </w:rPr>
            </w:pPr>
            <w:r w:rsidRPr="00CA7A69">
              <w:rPr>
                <w:rFonts w:ascii="Palatino Linotype" w:hAnsi="Palatino Linotype"/>
                <w:b/>
                <w:bCs/>
                <w:color w:val="0D0D0D"/>
                <w:sz w:val="18"/>
              </w:rPr>
              <w:t>Computational details</w:t>
            </w:r>
          </w:p>
        </w:tc>
        <w:tc>
          <w:tcPr>
            <w:tcW w:w="1413" w:type="dxa"/>
            <w:tcBorders>
              <w:top w:val="single" w:sz="4" w:space="0" w:color="auto"/>
              <w:left w:val="nil"/>
              <w:bottom w:val="single" w:sz="4" w:space="0" w:color="auto"/>
              <w:right w:val="nil"/>
            </w:tcBorders>
            <w:tcMar>
              <w:top w:w="57" w:type="dxa"/>
              <w:bottom w:w="57" w:type="dxa"/>
            </w:tcMar>
            <w:vAlign w:val="center"/>
          </w:tcPr>
          <w:p w14:paraId="0865E26F" w14:textId="77777777" w:rsidR="00CA7A69" w:rsidRPr="00CA7A69" w:rsidRDefault="00CA7A69" w:rsidP="00CA7A69">
            <w:pPr>
              <w:spacing w:line="360" w:lineRule="auto"/>
              <w:jc w:val="both"/>
              <w:rPr>
                <w:rFonts w:ascii="Palatino Linotype" w:hAnsi="Palatino Linotype"/>
                <w:b/>
                <w:bCs/>
                <w:color w:val="0D0D0D"/>
                <w:sz w:val="18"/>
              </w:rPr>
            </w:pPr>
            <w:r w:rsidRPr="00CA7A69">
              <w:rPr>
                <w:rFonts w:ascii="Palatino Linotype" w:hAnsi="Palatino Linotype"/>
                <w:b/>
                <w:bCs/>
                <w:color w:val="0D0D0D"/>
                <w:sz w:val="18"/>
              </w:rPr>
              <w:t>Ref.</w:t>
            </w:r>
          </w:p>
        </w:tc>
      </w:tr>
      <w:tr w:rsidR="00CA7A69" w:rsidRPr="00CA7A69" w14:paraId="5D2ABE48" w14:textId="77777777" w:rsidTr="00117EAB">
        <w:trPr>
          <w:trHeight w:val="922"/>
          <w:jc w:val="center"/>
        </w:trPr>
        <w:tc>
          <w:tcPr>
            <w:tcW w:w="546" w:type="dxa"/>
            <w:tcBorders>
              <w:top w:val="single" w:sz="4" w:space="0" w:color="auto"/>
              <w:left w:val="nil"/>
              <w:bottom w:val="nil"/>
              <w:right w:val="nil"/>
            </w:tcBorders>
            <w:vAlign w:val="center"/>
          </w:tcPr>
          <w:p w14:paraId="3FE4BF24" w14:textId="77777777" w:rsidR="00CA7A69" w:rsidRPr="00CA7A69" w:rsidRDefault="00CA7A69" w:rsidP="00CA7A69">
            <w:pPr>
              <w:autoSpaceDE w:val="0"/>
              <w:autoSpaceDN w:val="0"/>
              <w:adjustRightInd w:val="0"/>
              <w:spacing w:before="120"/>
              <w:jc w:val="both"/>
              <w:rPr>
                <w:rFonts w:ascii="Palatino Linotype" w:hAnsi="Palatino Linotype" w:cs="Arial"/>
                <w:bCs/>
                <w:color w:val="0D0D0D"/>
                <w:sz w:val="14"/>
                <w:szCs w:val="16"/>
                <w:lang w:val="en-US" w:eastAsia="zh-TW"/>
              </w:rPr>
            </w:pPr>
            <w:r w:rsidRPr="00CA7A69">
              <w:rPr>
                <w:rFonts w:ascii="Palatino Linotype" w:hAnsi="Palatino Linotype" w:cs="Arial"/>
                <w:bCs/>
                <w:color w:val="0D0D0D"/>
                <w:sz w:val="14"/>
                <w:szCs w:val="16"/>
                <w:lang w:val="en-US" w:eastAsia="zh-TW"/>
              </w:rPr>
              <w:t>1.1</w:t>
            </w:r>
          </w:p>
        </w:tc>
        <w:tc>
          <w:tcPr>
            <w:tcW w:w="3024" w:type="dxa"/>
            <w:tcBorders>
              <w:top w:val="single" w:sz="4" w:space="0" w:color="auto"/>
              <w:left w:val="nil"/>
              <w:bottom w:val="nil"/>
              <w:right w:val="nil"/>
            </w:tcBorders>
            <w:vAlign w:val="center"/>
          </w:tcPr>
          <w:p w14:paraId="4585A477" w14:textId="77777777" w:rsidR="00CA7A69" w:rsidRPr="00CA7A69" w:rsidRDefault="00CA7A69" w:rsidP="00CA7A69">
            <w:pPr>
              <w:autoSpaceDE w:val="0"/>
              <w:autoSpaceDN w:val="0"/>
              <w:adjustRightInd w:val="0"/>
              <w:spacing w:before="120"/>
              <w:jc w:val="center"/>
              <w:rPr>
                <w:rFonts w:ascii="Palatino Linotype" w:hAnsi="Palatino Linotype" w:cs="Arial"/>
                <w:color w:val="FF0000"/>
                <w:sz w:val="16"/>
                <w:szCs w:val="18"/>
                <w:lang w:val="en-US" w:eastAsia="zh-TW"/>
              </w:rPr>
            </w:pPr>
            <w:r w:rsidRPr="00CA7A69">
              <w:rPr>
                <w:rFonts w:ascii="Palatino Linotype" w:hAnsi="Palatino Linotype" w:cs="Arial"/>
                <w:bCs/>
                <w:color w:val="FF0000"/>
                <w:sz w:val="16"/>
                <w:szCs w:val="18"/>
                <w:lang w:val="en-US" w:eastAsia="zh-TW"/>
              </w:rPr>
              <w:t>Self-consumption factor/Supply cover factor (</w:t>
            </w:r>
            <m:oMath>
              <m:sSub>
                <m:sSubPr>
                  <m:ctrlPr>
                    <w:rPr>
                      <w:rFonts w:ascii="Cambria Math" w:hAnsi="Cambria Math" w:cs="Arial"/>
                      <w:i/>
                      <w:color w:val="FF0000"/>
                      <w:sz w:val="16"/>
                      <w:szCs w:val="18"/>
                      <w:lang w:eastAsia="zh-TW"/>
                    </w:rPr>
                  </m:ctrlPr>
                </m:sSubPr>
                <m:e>
                  <m:r>
                    <m:rPr>
                      <m:sty m:val="p"/>
                    </m:rPr>
                    <w:rPr>
                      <w:rFonts w:ascii="Cambria Math" w:hAnsi="Cambria Math" w:cs="Cambria Math"/>
                      <w:color w:val="FF0000"/>
                      <w:sz w:val="16"/>
                      <w:szCs w:val="18"/>
                      <w:lang w:eastAsia="zh-TW"/>
                    </w:rPr>
                    <m:t>γ</m:t>
                  </m:r>
                </m:e>
                <m:sub>
                  <m:r>
                    <w:rPr>
                      <w:rFonts w:ascii="Cambria Math" w:hAnsi="Cambria Math" w:cs="Arial"/>
                      <w:color w:val="FF0000"/>
                      <w:sz w:val="16"/>
                      <w:szCs w:val="18"/>
                      <w:lang w:eastAsia="zh-TW"/>
                    </w:rPr>
                    <m:t>s</m:t>
                  </m:r>
                </m:sub>
              </m:sSub>
              <m:r>
                <w:rPr>
                  <w:rFonts w:ascii="Cambria Math" w:hAnsi="Cambria Math" w:cs="Arial"/>
                  <w:color w:val="FF0000"/>
                  <w:sz w:val="16"/>
                  <w:szCs w:val="18"/>
                  <w:lang w:val="en-US" w:eastAsia="zh-TW"/>
                </w:rPr>
                <m:t>)</m:t>
              </m:r>
            </m:oMath>
          </w:p>
        </w:tc>
        <w:tc>
          <w:tcPr>
            <w:tcW w:w="3964" w:type="dxa"/>
            <w:tcBorders>
              <w:top w:val="single" w:sz="4" w:space="0" w:color="auto"/>
              <w:left w:val="nil"/>
              <w:bottom w:val="nil"/>
              <w:right w:val="nil"/>
            </w:tcBorders>
            <w:vAlign w:val="center"/>
          </w:tcPr>
          <w:p w14:paraId="330341A6" w14:textId="77777777" w:rsidR="00CA7A69" w:rsidRPr="00CA7A69" w:rsidRDefault="005B195F" w:rsidP="00CA7A69">
            <w:pPr>
              <w:spacing w:line="360" w:lineRule="auto"/>
              <w:jc w:val="center"/>
              <w:rPr>
                <w:color w:val="0D0D0D"/>
                <w:lang w:val="en-US"/>
              </w:rPr>
            </w:pPr>
            <m:oMathPara>
              <m:oMathParaPr>
                <m:jc m:val="center"/>
              </m:oMathParaPr>
              <m:oMath>
                <m:sSub>
                  <m:sSubPr>
                    <m:ctrlPr>
                      <w:rPr>
                        <w:rFonts w:ascii="Cambria Math" w:hAnsi="Cambria Math"/>
                        <w:i/>
                        <w:color w:val="0D0D0D"/>
                      </w:rPr>
                    </m:ctrlPr>
                  </m:sSubPr>
                  <m:e>
                    <m:r>
                      <m:rPr>
                        <m:sty m:val="p"/>
                      </m:rPr>
                      <w:rPr>
                        <w:rFonts w:ascii="Cambria Math" w:hAnsi="Cambria Math" w:cs="Cambria Math"/>
                        <w:color w:val="0D0D0D"/>
                      </w:rPr>
                      <m:t>γ</m:t>
                    </m:r>
                  </m:e>
                  <m:sub>
                    <m:r>
                      <w:rPr>
                        <w:rFonts w:ascii="Cambria Math" w:hAnsi="Cambria Math"/>
                        <w:color w:val="0D0D0D"/>
                      </w:rPr>
                      <m:t>s</m:t>
                    </m:r>
                  </m:sub>
                </m:sSub>
                <m:r>
                  <w:rPr>
                    <w:rFonts w:ascii="Cambria Math" w:hAnsi="Cambria Math"/>
                    <w:color w:val="0D0D0D"/>
                    <w:lang w:val="en-US"/>
                  </w:rPr>
                  <m:t>=</m:t>
                </m:r>
                <m:f>
                  <m:fPr>
                    <m:ctrlPr>
                      <w:rPr>
                        <w:rFonts w:ascii="Cambria Math" w:hAnsi="Cambria Math"/>
                        <w:i/>
                        <w:color w:val="0D0D0D"/>
                      </w:rPr>
                    </m:ctrlPr>
                  </m:fPr>
                  <m:num>
                    <m:nary>
                      <m:naryPr>
                        <m:limLoc m:val="subSup"/>
                        <m:ctrlPr>
                          <w:rPr>
                            <w:rFonts w:ascii="Cambria Math" w:hAnsi="Cambria Math"/>
                            <w:i/>
                            <w:color w:val="0D0D0D"/>
                          </w:rPr>
                        </m:ctrlPr>
                      </m:naryPr>
                      <m:sub>
                        <m:r>
                          <w:rPr>
                            <w:rFonts w:ascii="Cambria Math" w:hAnsi="Cambria Math"/>
                            <w:color w:val="0D0D0D"/>
                            <w:lang w:val="en-US"/>
                          </w:rPr>
                          <m:t>0</m:t>
                        </m:r>
                      </m:sub>
                      <m:sup>
                        <m:r>
                          <w:rPr>
                            <w:rFonts w:ascii="Cambria Math" w:hAnsi="Cambria Math"/>
                            <w:color w:val="0D0D0D"/>
                          </w:rPr>
                          <m:t>T</m:t>
                        </m:r>
                      </m:sup>
                      <m:e>
                        <m:func>
                          <m:funcPr>
                            <m:ctrlPr>
                              <w:rPr>
                                <w:rFonts w:ascii="Cambria Math" w:hAnsi="Cambria Math"/>
                                <w:color w:val="0D0D0D"/>
                              </w:rPr>
                            </m:ctrlPr>
                          </m:funcPr>
                          <m:fName>
                            <m:r>
                              <m:rPr>
                                <m:sty m:val="p"/>
                              </m:rPr>
                              <w:rPr>
                                <w:rFonts w:ascii="Cambria Math" w:hAnsi="Cambria Math"/>
                                <w:color w:val="0D0D0D"/>
                                <w:lang w:val="en-US"/>
                              </w:rPr>
                              <m:t>min</m:t>
                            </m:r>
                          </m:fName>
                          <m:e>
                            <m:d>
                              <m:dPr>
                                <m:ctrlPr>
                                  <w:rPr>
                                    <w:rFonts w:ascii="Cambria Math" w:hAnsi="Cambria Math"/>
                                    <w:i/>
                                    <w:color w:val="0D0D0D"/>
                                  </w:rPr>
                                </m:ctrlPr>
                              </m:dPr>
                              <m:e>
                                <m:r>
                                  <w:rPr>
                                    <w:rFonts w:ascii="Cambria Math" w:hAnsi="Cambria Math"/>
                                    <w:color w:val="0D0D0D"/>
                                  </w:rPr>
                                  <m:t>g</m:t>
                                </m:r>
                                <m:d>
                                  <m:dPr>
                                    <m:ctrlPr>
                                      <w:rPr>
                                        <w:rFonts w:ascii="Cambria Math" w:hAnsi="Cambria Math"/>
                                        <w:i/>
                                        <w:color w:val="0D0D0D"/>
                                      </w:rPr>
                                    </m:ctrlPr>
                                  </m:dPr>
                                  <m:e>
                                    <m:r>
                                      <w:rPr>
                                        <w:rFonts w:ascii="Cambria Math" w:hAnsi="Cambria Math"/>
                                        <w:color w:val="0D0D0D"/>
                                      </w:rPr>
                                      <m:t>t</m:t>
                                    </m:r>
                                  </m:e>
                                </m:d>
                                <m:r>
                                  <w:rPr>
                                    <w:rFonts w:ascii="Cambria Math" w:hAnsi="Cambria Math"/>
                                    <w:color w:val="0D0D0D"/>
                                    <w:lang w:val="en-US"/>
                                  </w:rPr>
                                  <m:t>,</m:t>
                                </m:r>
                                <m:r>
                                  <w:rPr>
                                    <w:rFonts w:ascii="Cambria Math" w:hAnsi="Cambria Math"/>
                                    <w:color w:val="0D0D0D"/>
                                  </w:rPr>
                                  <m:t>l</m:t>
                                </m:r>
                                <m:d>
                                  <m:dPr>
                                    <m:ctrlPr>
                                      <w:rPr>
                                        <w:rFonts w:ascii="Cambria Math" w:hAnsi="Cambria Math"/>
                                        <w:i/>
                                        <w:color w:val="0D0D0D"/>
                                      </w:rPr>
                                    </m:ctrlPr>
                                  </m:dPr>
                                  <m:e>
                                    <m:r>
                                      <w:rPr>
                                        <w:rFonts w:ascii="Cambria Math" w:hAnsi="Cambria Math"/>
                                        <w:color w:val="0D0D0D"/>
                                      </w:rPr>
                                      <m:t>t</m:t>
                                    </m:r>
                                  </m:e>
                                </m:d>
                              </m:e>
                            </m:d>
                          </m:e>
                        </m:func>
                        <m:r>
                          <w:rPr>
                            <w:rFonts w:ascii="Cambria Math" w:hAnsi="Cambria Math"/>
                            <w:color w:val="0D0D0D"/>
                          </w:rPr>
                          <m:t>dt</m:t>
                        </m:r>
                      </m:e>
                    </m:nary>
                  </m:num>
                  <m:den>
                    <m:nary>
                      <m:naryPr>
                        <m:limLoc m:val="subSup"/>
                        <m:ctrlPr>
                          <w:rPr>
                            <w:rFonts w:ascii="Cambria Math" w:hAnsi="Cambria Math"/>
                            <w:i/>
                            <w:color w:val="0D0D0D"/>
                          </w:rPr>
                        </m:ctrlPr>
                      </m:naryPr>
                      <m:sub>
                        <m:r>
                          <w:rPr>
                            <w:rFonts w:ascii="Cambria Math" w:hAnsi="Cambria Math"/>
                            <w:color w:val="0D0D0D"/>
                            <w:lang w:val="en-US"/>
                          </w:rPr>
                          <m:t>0</m:t>
                        </m:r>
                      </m:sub>
                      <m:sup>
                        <m:r>
                          <w:rPr>
                            <w:rFonts w:ascii="Cambria Math" w:hAnsi="Cambria Math"/>
                            <w:color w:val="0D0D0D"/>
                          </w:rPr>
                          <m:t>T</m:t>
                        </m:r>
                      </m:sup>
                      <m:e>
                        <m:r>
                          <m:rPr>
                            <m:sty m:val="p"/>
                          </m:rPr>
                          <w:rPr>
                            <w:rFonts w:ascii="Cambria Math" w:hAnsi="Cambria Math"/>
                            <w:color w:val="0D0D0D"/>
                            <w:lang w:val="en-US"/>
                          </w:rPr>
                          <m:t>g(t)</m:t>
                        </m:r>
                        <m:r>
                          <w:rPr>
                            <w:rFonts w:ascii="Cambria Math" w:hAnsi="Cambria Math"/>
                            <w:color w:val="0D0D0D"/>
                          </w:rPr>
                          <m:t>dt</m:t>
                        </m:r>
                      </m:e>
                    </m:nary>
                  </m:den>
                </m:f>
              </m:oMath>
            </m:oMathPara>
          </w:p>
        </w:tc>
        <w:tc>
          <w:tcPr>
            <w:tcW w:w="5391" w:type="dxa"/>
            <w:vMerge w:val="restart"/>
            <w:tcBorders>
              <w:top w:val="single" w:sz="4" w:space="0" w:color="auto"/>
              <w:left w:val="nil"/>
              <w:bottom w:val="nil"/>
              <w:right w:val="nil"/>
            </w:tcBorders>
          </w:tcPr>
          <w:p w14:paraId="1EFA3DAC" w14:textId="77777777" w:rsidR="00CA7A69" w:rsidRPr="00CA7A69" w:rsidRDefault="00CA7A69" w:rsidP="00CA7A69">
            <w:pPr>
              <w:spacing w:before="120"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g: energy generation</w:t>
            </w:r>
          </w:p>
          <w:p w14:paraId="011CA417"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l: energy consumption</w:t>
            </w:r>
          </w:p>
          <w:p w14:paraId="42CFA719"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w:t>
            </w:r>
          </w:p>
          <w:p w14:paraId="334A5262"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 period</w:t>
            </w:r>
          </w:p>
        </w:tc>
        <w:tc>
          <w:tcPr>
            <w:tcW w:w="1413" w:type="dxa"/>
            <w:tcBorders>
              <w:top w:val="single" w:sz="4" w:space="0" w:color="auto"/>
              <w:left w:val="nil"/>
              <w:bottom w:val="nil"/>
              <w:right w:val="nil"/>
            </w:tcBorders>
            <w:vAlign w:val="center"/>
          </w:tcPr>
          <w:p w14:paraId="454758E9" w14:textId="69857686" w:rsidR="00CA7A69" w:rsidRPr="00CA7A69" w:rsidRDefault="00CA7A69" w:rsidP="00CA7A69">
            <w:pPr>
              <w:spacing w:before="20" w:line="360" w:lineRule="auto"/>
              <w:jc w:val="both"/>
              <w:rPr>
                <w:color w:val="0D0D0D"/>
                <w:sz w:val="14"/>
                <w:szCs w:val="16"/>
                <w:lang w:val="en-GB"/>
              </w:rPr>
            </w:pPr>
            <w:r w:rsidRPr="00CA7A69">
              <w:rPr>
                <w:color w:val="0D0D0D"/>
                <w:sz w:val="14"/>
                <w:szCs w:val="16"/>
              </w:rPr>
              <w:fldChar w:fldCharType="begin" w:fldLock="1"/>
            </w:r>
            <w:r w:rsidR="001D3C8C">
              <w:rPr>
                <w:color w:val="0D0D0D"/>
                <w:sz w:val="14"/>
                <w:szCs w:val="16"/>
                <w:lang w:val="en-GB"/>
              </w:rPr>
              <w:instrText>ADDIN CSL_CITATION {"citationItems":[{"id":"ITEM-1","itemData":{"DOI":"10.1016/j.apenergy.2014.09.018","ISSN":"03062619","abstract":"The main objective of this paper is to contribute to the discussion on the role of Net Zero Energy Buildings (Net ZEBs) on future energy systems by the interplay between on-site generation and the building loads, often called load matching, and the resulting import/export interaction with the surrounding electricity grid, commonly named grid interaction. This investigation analyzes five case studies with high resolution data, three of which are based on real monitored buildings. The research aims at selecting and suggesting a limited set of quantitative indicators that: (a) can provide practical information for building as well as grid designers and operators, and (b) are understandable for a wider audience and do not require complex simulation tools or additional resources. This paper also presents novel graphical representations describing the yearly or daily variation of the indexes in an understandable manner. It has been found that the hourly values of the cover factors (namely, the load cover factor and the supply cover factor) provide quite a good picture of the correlation between on-site demand and supply of energy. These factors illustrate both the daily and seasonal effect, the production pattern of different renewable energy technologies, and applied operation/control strategies. The loss-of load probability factor shows how often the on-site supply does not cover the on-site demand but it provides limited information. Several grid interaction indicators are presented in a normalized form based on the connection capacity between the building and the grid. The generation multiple is an index that compares peak values of exported/imported energy; it may also be used with generation/load values. The dimensioning rate and the connection capacity credit relate the building with the electrical grid. These indexes can be used to analyze individual buildings and extend their use in the case of cluster of buildings. Although some general trends have been identified in the results and the usefulness of these indicators is demonstrated, it should be noted that further studies are needed in order to define reference values for particular building topologies, clusters of buildings and climates, which could be used as a rule-of-thumb for grid/building designers.","author":[{"dropping-particle":"","family":"Salom","given":"Jaume","non-dropping-particle":"","parse-names":false,"suffix":""},{"dropping-particle":"","family":"Marszal","given":"Anna Joanna","non-dropping-particle":"","parse-names":false,"suffix":""},{"dropping-particle":"","family":"Widén","given":"Joakim","non-dropping-particle":"","parse-names":false,"suffix":""},{"dropping-particle":"","family":"Candanedo","given":"José","non-dropping-particle":"","parse-names":false,"suffix":""},{"dropping-particle":"","family":"Lindberg","given":"Karen Byskov","non-dropping-particle":"","parse-names":false,"suffix":""}],"container-title":"Applied Energy","id":"ITEM-1","issued":{"date-parts":[["2014"]]},"page":"119-131","publisher":"Elsevier Ltd","title":"Analysis of load match and grid interaction indicators in net zero energy buildings with simulated and monitored data","type":"article-journal","volume":"136"},"uris":["http://www.mendeley.com/documents/?uuid=3b6880ad-57d5-4faa-872a-b403bb079112","http://www.mendeley.com/documents/?uuid=f1a997ce-4117-4039-b0a5-e98079520527"]}],"mendeley":{"formattedCitation":"(Salom et al., 2014)","plainTextFormattedCitation":"(Salom et al., 2014)","previouslyFormattedCitation":"(Salom et al. 2014)"},"properties":{"noteIndex":0},"schema":"https://github.com/citation-style-language/schema/raw/master/csl-citation.json"}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(Salom et al., 2014)</w:t>
            </w:r>
            <w:r w:rsidRPr="00CA7A69">
              <w:rPr>
                <w:color w:val="0D0D0D"/>
                <w:sz w:val="14"/>
                <w:szCs w:val="16"/>
              </w:rPr>
              <w:fldChar w:fldCharType="end"/>
            </w:r>
            <w:r w:rsidRPr="00CA7A69">
              <w:rPr>
                <w:color w:val="0D0D0D"/>
                <w:sz w:val="14"/>
                <w:szCs w:val="16"/>
              </w:rPr>
              <w:t xml:space="preserve"> </w:t>
            </w:r>
            <w:r w:rsidRPr="00CA7A69">
              <w:rPr>
                <w:color w:val="0D0D0D"/>
                <w:sz w:val="14"/>
                <w:szCs w:val="16"/>
              </w:rPr>
              <w:fldChar w:fldCharType="begin" w:fldLock="1"/>
            </w:r>
            <w:r w:rsidR="001D3C8C">
              <w:rPr>
                <w:color w:val="0D0D0D"/>
                <w:sz w:val="14"/>
                <w:szCs w:val="16"/>
              </w:rPr>
              <w:instrText>ADDIN CSL_CITATION {"citationItems":[{"id":"ITEM-1","itemData":{"DOI":"10.1016/j.renene.2013.10.021","ISSN":"09601481","abstract":"A trend of increasing electrification will put a pressure on the reliability and stability of electrical distribution grids. Demand response, whereby the demand of electricity is adjusted to the availability, can ease this problem. A lab test setup was built to examine the potential of a heat pump for demand response purposes. With this test setup, it is possible to emulate the behaviour of a heat pump in a single household building equipped with either photovoltaic panels or a residential wind turbine. A market-based multi-agent system was developed to control the active heat pump. The goal of this active control was to limit the peak power demands of the building and to maximise the self-consumption of the locally produced electricity. For two weeks, the coldest winter week and an average winter week, the behaviour of the actively controlled heat pump was compared to a regular, heat-driven controlled heat pump.The tests show that the current heat pump controller is able to shave the power consumption peaks of the building. In this way, active control of the heat pump can diminish extra investment costs for grid reinforcement. Active control also enables self-consumption of locally produced electricity. However, because of the higher energy consumption, the current version of the active heat pump controller is not yet able to significantly decrease the consumption of grey electricity from the grid. © 2013 Elsevier Ltd.","author":[{"dropping-particle":"","family":"Vanhoudt","given":"D.","non-dropping-particle":"","parse-names":false,"suffix":""},{"dropping-particle":"","family":"Geysen","given":"D.","non-dropping-particle":"","parse-names":false,"suffix":""},{"dropping-particle":"","family":"Claessens","given":"B.","non-dropping-particle":"","parse-names":false,"suffix":""},{"dropping-particle":"","family":"Leemans","given":"F.","non-dropping-particle":"","parse-names":false,"suffix":""},{"dropping-particle":"","family":"Jespers","given":"L.","non-dropping-particle":"","parse-names":false,"suffix":""},{"dropping-particle":"","family":"Bael","given":"J.","non-dropping-particle":"Van","parse-names":false,"suffix":""}],"container-title":"Renewable Energy","id":"ITEM-1","issued":{"date-parts":[["2014"]]},"page":"531-543","publisher":"Elsevier Ltd","title":"An actively controlled residential heat pump: Potential on peak shaving and maximization of self-consumption of renewable energy","type":"article-journal","volume":"63"},"uris":["http://www.mendeley.com/documents/?uuid=23b24802-cbb3-4164-97e1-d24f1ce1adbd","http://www.mendeley.com/documents/?uuid=36ae9ce6-aef6-4eee-b6ad-2bda3fefffa8","http://www.mendeley.com/documents/?uuid=6c30720e-0590-4947-834b-ed571ec0bbd2"]}],"mendeley":{"formattedCitation":"(Vanhoudt et al., 2014)","plainTextFormattedCitation":"(Vanhoudt et al., 2014)","previouslyFormattedCitation":"(Vanhoudt et al. 2014)"},"properties":{"noteIndex":0},"schema":"https://github.com/citation-style-language/schema/raw/master/csl-citation.json"}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GB"/>
              </w:rPr>
              <w:t>(Vanhoudt et al., 2014)</w:t>
            </w:r>
            <w:r w:rsidRPr="00CA7A69">
              <w:rPr>
                <w:color w:val="0D0D0D"/>
                <w:sz w:val="14"/>
                <w:szCs w:val="16"/>
              </w:rPr>
              <w:fldChar w:fldCharType="end"/>
            </w:r>
          </w:p>
        </w:tc>
      </w:tr>
      <w:tr w:rsidR="00CA7A69" w:rsidRPr="00CA7A69" w14:paraId="44823436" w14:textId="77777777" w:rsidTr="00117EAB">
        <w:trPr>
          <w:trHeight w:val="911"/>
          <w:jc w:val="center"/>
        </w:trPr>
        <w:tc>
          <w:tcPr>
            <w:tcW w:w="546" w:type="dxa"/>
            <w:tcBorders>
              <w:top w:val="nil"/>
              <w:left w:val="nil"/>
              <w:bottom w:val="nil"/>
              <w:right w:val="nil"/>
            </w:tcBorders>
            <w:vAlign w:val="center"/>
          </w:tcPr>
          <w:p w14:paraId="4BD2AF9D" w14:textId="77777777" w:rsidR="00CA7A69" w:rsidRPr="00CA7A69" w:rsidRDefault="00CA7A69" w:rsidP="00CA7A69">
            <w:pPr>
              <w:spacing w:before="120" w:line="360" w:lineRule="auto"/>
              <w:jc w:val="both"/>
              <w:rPr>
                <w:rFonts w:ascii="Palatino Linotype" w:hAnsi="Palatino Linotype"/>
                <w:bCs/>
                <w:color w:val="0D0D0D"/>
                <w:sz w:val="14"/>
                <w:szCs w:val="16"/>
                <w:lang w:val="en-US"/>
              </w:rPr>
            </w:pPr>
            <w:r w:rsidRPr="00CA7A69">
              <w:rPr>
                <w:rFonts w:ascii="Palatino Linotype" w:hAnsi="Palatino Linotype"/>
                <w:bCs/>
                <w:color w:val="0D0D0D"/>
                <w:sz w:val="14"/>
                <w:szCs w:val="16"/>
                <w:lang w:val="en-US"/>
              </w:rPr>
              <w:t>1.2</w:t>
            </w:r>
          </w:p>
        </w:tc>
        <w:tc>
          <w:tcPr>
            <w:tcW w:w="3024" w:type="dxa"/>
            <w:tcBorders>
              <w:top w:val="nil"/>
              <w:left w:val="nil"/>
              <w:bottom w:val="nil"/>
              <w:right w:val="nil"/>
            </w:tcBorders>
            <w:vAlign w:val="center"/>
          </w:tcPr>
          <w:p w14:paraId="6CA8039B" w14:textId="77777777" w:rsidR="00CA7A69" w:rsidRPr="00CA7A69" w:rsidRDefault="00CA7A69" w:rsidP="00CA7A69">
            <w:pPr>
              <w:spacing w:before="120" w:line="360" w:lineRule="auto"/>
              <w:jc w:val="center"/>
              <w:rPr>
                <w:rFonts w:ascii="Palatino Linotype" w:hAnsi="Palatino Linotype"/>
                <w:color w:val="FF0000"/>
                <w:sz w:val="16"/>
                <w:szCs w:val="18"/>
                <w:lang w:val="en-US"/>
              </w:rPr>
            </w:pPr>
            <w:r w:rsidRPr="00CA7A69">
              <w:rPr>
                <w:rFonts w:ascii="Palatino Linotype" w:hAnsi="Palatino Linotype"/>
                <w:bCs/>
                <w:color w:val="FF0000"/>
                <w:sz w:val="16"/>
                <w:szCs w:val="18"/>
                <w:lang w:val="en-US"/>
              </w:rPr>
              <w:t>Self-generation factor/Load cover factor/Solar factor (</w:t>
            </w:r>
            <m:oMath>
              <m:sSub>
                <m:sSubPr>
                  <m:ctrlPr>
                    <w:rPr>
                      <w:rFonts w:ascii="Cambria Math" w:hAnsi="Cambria Math"/>
                      <w:i/>
                      <w:color w:val="FF0000"/>
                      <w:sz w:val="16"/>
                      <w:szCs w:val="18"/>
                    </w:rPr>
                  </m:ctrlPr>
                </m:sSubPr>
                <m:e>
                  <m:r>
                    <m:rPr>
                      <m:sty m:val="p"/>
                    </m:rPr>
                    <w:rPr>
                      <w:rFonts w:ascii="Cambria Math" w:hAnsi="Cambria Math" w:cs="Cambria Math"/>
                      <w:color w:val="FF0000"/>
                      <w:sz w:val="16"/>
                      <w:szCs w:val="18"/>
                    </w:rPr>
                    <m:t>γ</m:t>
                  </m:r>
                </m:e>
                <m:sub>
                  <m:r>
                    <w:rPr>
                      <w:rFonts w:ascii="Cambria Math" w:hAnsi="Cambria Math"/>
                      <w:color w:val="FF0000"/>
                      <w:sz w:val="16"/>
                      <w:szCs w:val="18"/>
                    </w:rPr>
                    <m:t>l</m:t>
                  </m:r>
                </m:sub>
              </m:sSub>
              <m:r>
                <w:rPr>
                  <w:rFonts w:ascii="Cambria Math" w:hAnsi="Cambria Math"/>
                  <w:color w:val="FF0000"/>
                  <w:sz w:val="16"/>
                  <w:szCs w:val="18"/>
                  <w:lang w:val="en-US"/>
                </w:rPr>
                <m:t>)</m:t>
              </m:r>
            </m:oMath>
          </w:p>
        </w:tc>
        <w:tc>
          <w:tcPr>
            <w:tcW w:w="3964" w:type="dxa"/>
            <w:tcBorders>
              <w:top w:val="nil"/>
              <w:left w:val="nil"/>
              <w:bottom w:val="nil"/>
              <w:right w:val="nil"/>
            </w:tcBorders>
            <w:vAlign w:val="center"/>
          </w:tcPr>
          <w:p w14:paraId="049F4EE4" w14:textId="77777777" w:rsidR="00CA7A69" w:rsidRPr="00CA7A69" w:rsidRDefault="005B195F" w:rsidP="00CA7A69">
            <w:pPr>
              <w:spacing w:line="360" w:lineRule="auto"/>
              <w:jc w:val="center"/>
              <w:rPr>
                <w:color w:val="0D0D0D"/>
                <w:lang w:val="en-US"/>
              </w:rPr>
            </w:pPr>
            <m:oMathPara>
              <m:oMathParaPr>
                <m:jc m:val="left"/>
              </m:oMathParaPr>
              <m:oMath>
                <m:sSub>
                  <m:sSubPr>
                    <m:ctrlPr>
                      <w:rPr>
                        <w:rFonts w:ascii="Cambria Math" w:hAnsi="Cambria Math"/>
                        <w:i/>
                        <w:color w:val="0D0D0D"/>
                      </w:rPr>
                    </m:ctrlPr>
                  </m:sSubPr>
                  <m:e>
                    <m:r>
                      <m:rPr>
                        <m:sty m:val="p"/>
                      </m:rPr>
                      <w:rPr>
                        <w:rFonts w:ascii="Cambria Math" w:hAnsi="Cambria Math" w:cs="Cambria Math"/>
                        <w:color w:val="0D0D0D"/>
                        <w:lang w:val="en-GB"/>
                      </w:rPr>
                      <m:t xml:space="preserve">               </m:t>
                    </m:r>
                    <m:r>
                      <m:rPr>
                        <m:sty m:val="p"/>
                      </m:rPr>
                      <w:rPr>
                        <w:rFonts w:ascii="Cambria Math" w:hAnsi="Cambria Math" w:cs="Cambria Math"/>
                        <w:color w:val="0D0D0D"/>
                      </w:rPr>
                      <m:t>γ</m:t>
                    </m:r>
                  </m:e>
                  <m:sub>
                    <m:r>
                      <w:rPr>
                        <w:rFonts w:ascii="Cambria Math" w:hAnsi="Cambria Math"/>
                        <w:color w:val="0D0D0D"/>
                      </w:rPr>
                      <m:t>l</m:t>
                    </m:r>
                  </m:sub>
                </m:sSub>
                <m:r>
                  <w:rPr>
                    <w:rFonts w:ascii="Cambria Math" w:hAnsi="Cambria Math"/>
                    <w:color w:val="0D0D0D"/>
                    <w:lang w:val="en-US"/>
                  </w:rPr>
                  <m:t>=</m:t>
                </m:r>
                <m:f>
                  <m:fPr>
                    <m:ctrlPr>
                      <w:rPr>
                        <w:rFonts w:ascii="Cambria Math" w:hAnsi="Cambria Math"/>
                        <w:i/>
                        <w:color w:val="0D0D0D"/>
                      </w:rPr>
                    </m:ctrlPr>
                  </m:fPr>
                  <m:num>
                    <m:nary>
                      <m:naryPr>
                        <m:limLoc m:val="subSup"/>
                        <m:ctrlPr>
                          <w:rPr>
                            <w:rFonts w:ascii="Cambria Math" w:hAnsi="Cambria Math"/>
                            <w:i/>
                            <w:color w:val="0D0D0D"/>
                          </w:rPr>
                        </m:ctrlPr>
                      </m:naryPr>
                      <m:sub>
                        <m:r>
                          <w:rPr>
                            <w:rFonts w:ascii="Cambria Math" w:hAnsi="Cambria Math"/>
                            <w:color w:val="0D0D0D"/>
                            <w:lang w:val="en-US"/>
                          </w:rPr>
                          <m:t>0</m:t>
                        </m:r>
                      </m:sub>
                      <m:sup>
                        <m:r>
                          <w:rPr>
                            <w:rFonts w:ascii="Cambria Math" w:hAnsi="Cambria Math"/>
                            <w:color w:val="0D0D0D"/>
                          </w:rPr>
                          <m:t>T</m:t>
                        </m:r>
                      </m:sup>
                      <m:e>
                        <m:func>
                          <m:funcPr>
                            <m:ctrlPr>
                              <w:rPr>
                                <w:rFonts w:ascii="Cambria Math" w:hAnsi="Cambria Math"/>
                                <w:color w:val="0D0D0D"/>
                              </w:rPr>
                            </m:ctrlPr>
                          </m:funcPr>
                          <m:fName>
                            <m:r>
                              <m:rPr>
                                <m:sty m:val="p"/>
                              </m:rPr>
                              <w:rPr>
                                <w:rFonts w:ascii="Cambria Math" w:hAnsi="Cambria Math"/>
                                <w:color w:val="0D0D0D"/>
                                <w:lang w:val="en-US"/>
                              </w:rPr>
                              <m:t>min</m:t>
                            </m:r>
                          </m:fName>
                          <m:e>
                            <m:d>
                              <m:dPr>
                                <m:ctrlPr>
                                  <w:rPr>
                                    <w:rFonts w:ascii="Cambria Math" w:hAnsi="Cambria Math"/>
                                    <w:i/>
                                    <w:color w:val="0D0D0D"/>
                                  </w:rPr>
                                </m:ctrlPr>
                              </m:dPr>
                              <m:e>
                                <m:r>
                                  <w:rPr>
                                    <w:rFonts w:ascii="Cambria Math" w:hAnsi="Cambria Math"/>
                                    <w:color w:val="0D0D0D"/>
                                  </w:rPr>
                                  <m:t>g</m:t>
                                </m:r>
                                <m:d>
                                  <m:dPr>
                                    <m:ctrlPr>
                                      <w:rPr>
                                        <w:rFonts w:ascii="Cambria Math" w:hAnsi="Cambria Math"/>
                                        <w:i/>
                                        <w:color w:val="0D0D0D"/>
                                      </w:rPr>
                                    </m:ctrlPr>
                                  </m:dPr>
                                  <m:e>
                                    <m:r>
                                      <w:rPr>
                                        <w:rFonts w:ascii="Cambria Math" w:hAnsi="Cambria Math"/>
                                        <w:color w:val="0D0D0D"/>
                                      </w:rPr>
                                      <m:t>t</m:t>
                                    </m:r>
                                  </m:e>
                                </m:d>
                                <m:r>
                                  <w:rPr>
                                    <w:rFonts w:ascii="Cambria Math" w:hAnsi="Cambria Math"/>
                                    <w:color w:val="0D0D0D"/>
                                    <w:lang w:val="en-US"/>
                                  </w:rPr>
                                  <m:t>,</m:t>
                                </m:r>
                                <m:r>
                                  <w:rPr>
                                    <w:rFonts w:ascii="Cambria Math" w:hAnsi="Cambria Math"/>
                                    <w:color w:val="0D0D0D"/>
                                  </w:rPr>
                                  <m:t>l</m:t>
                                </m:r>
                                <m:d>
                                  <m:dPr>
                                    <m:ctrlPr>
                                      <w:rPr>
                                        <w:rFonts w:ascii="Cambria Math" w:hAnsi="Cambria Math"/>
                                        <w:i/>
                                        <w:color w:val="0D0D0D"/>
                                      </w:rPr>
                                    </m:ctrlPr>
                                  </m:dPr>
                                  <m:e>
                                    <m:r>
                                      <w:rPr>
                                        <w:rFonts w:ascii="Cambria Math" w:hAnsi="Cambria Math"/>
                                        <w:color w:val="0D0D0D"/>
                                      </w:rPr>
                                      <m:t>t</m:t>
                                    </m:r>
                                  </m:e>
                                </m:d>
                              </m:e>
                            </m:d>
                          </m:e>
                        </m:func>
                        <m:r>
                          <w:rPr>
                            <w:rFonts w:ascii="Cambria Math" w:hAnsi="Cambria Math"/>
                            <w:color w:val="0D0D0D"/>
                          </w:rPr>
                          <m:t>dt</m:t>
                        </m:r>
                      </m:e>
                    </m:nary>
                  </m:num>
                  <m:den>
                    <m:nary>
                      <m:naryPr>
                        <m:limLoc m:val="subSup"/>
                        <m:ctrlPr>
                          <w:rPr>
                            <w:rFonts w:ascii="Cambria Math" w:hAnsi="Cambria Math"/>
                            <w:i/>
                            <w:color w:val="0D0D0D"/>
                          </w:rPr>
                        </m:ctrlPr>
                      </m:naryPr>
                      <m:sub>
                        <m:r>
                          <w:rPr>
                            <w:rFonts w:ascii="Cambria Math" w:hAnsi="Cambria Math"/>
                            <w:color w:val="0D0D0D"/>
                            <w:lang w:val="en-US"/>
                          </w:rPr>
                          <m:t>0</m:t>
                        </m:r>
                      </m:sub>
                      <m:sup>
                        <m:r>
                          <w:rPr>
                            <w:rFonts w:ascii="Cambria Math" w:hAnsi="Cambria Math"/>
                            <w:color w:val="0D0D0D"/>
                          </w:rPr>
                          <m:t>T</m:t>
                        </m:r>
                      </m:sup>
                      <m:e>
                        <m:r>
                          <m:rPr>
                            <m:sty m:val="p"/>
                          </m:rPr>
                          <w:rPr>
                            <w:rFonts w:ascii="Cambria Math" w:hAnsi="Cambria Math"/>
                            <w:color w:val="0D0D0D"/>
                            <w:lang w:val="en-US"/>
                          </w:rPr>
                          <m:t>l(t)</m:t>
                        </m:r>
                        <m:r>
                          <w:rPr>
                            <w:rFonts w:ascii="Cambria Math" w:hAnsi="Cambria Math"/>
                            <w:color w:val="0D0D0D"/>
                          </w:rPr>
                          <m:t>dt</m:t>
                        </m:r>
                      </m:e>
                    </m:nary>
                  </m:den>
                </m:f>
              </m:oMath>
            </m:oMathPara>
          </w:p>
        </w:tc>
        <w:tc>
          <w:tcPr>
            <w:tcW w:w="5391" w:type="dxa"/>
            <w:vMerge/>
            <w:tcBorders>
              <w:top w:val="nil"/>
              <w:left w:val="nil"/>
              <w:bottom w:val="nil"/>
              <w:right w:val="nil"/>
            </w:tcBorders>
          </w:tcPr>
          <w:p w14:paraId="6EA244C9" w14:textId="77777777" w:rsidR="00CA7A69" w:rsidRPr="00CA7A69" w:rsidRDefault="00CA7A69" w:rsidP="00CA7A69">
            <w:pPr>
              <w:spacing w:line="360" w:lineRule="auto"/>
              <w:jc w:val="both"/>
              <w:rPr>
                <w:rFonts w:ascii="Palatino Linotype" w:hAnsi="Palatino Linotype"/>
                <w:color w:val="0D0D0D"/>
                <w:sz w:val="16"/>
                <w:szCs w:val="18"/>
                <w:lang w:val="en-US"/>
              </w:rPr>
            </w:pPr>
          </w:p>
        </w:tc>
        <w:tc>
          <w:tcPr>
            <w:tcW w:w="1413" w:type="dxa"/>
            <w:tcBorders>
              <w:top w:val="nil"/>
              <w:left w:val="nil"/>
              <w:bottom w:val="nil"/>
              <w:right w:val="nil"/>
            </w:tcBorders>
            <w:vAlign w:val="center"/>
          </w:tcPr>
          <w:p w14:paraId="6235C98E" w14:textId="5ED58BE1" w:rsidR="00CA7A69" w:rsidRPr="00CA7A69" w:rsidRDefault="00CA7A69" w:rsidP="00CA7A69">
            <w:pPr>
              <w:spacing w:before="20" w:line="360" w:lineRule="auto"/>
              <w:jc w:val="both"/>
              <w:rPr>
                <w:color w:val="0D0D0D"/>
                <w:sz w:val="14"/>
                <w:szCs w:val="16"/>
                <w:lang w:val="en-GB"/>
              </w:rPr>
            </w:pPr>
            <w:r w:rsidRPr="00CA7A69">
              <w:rPr>
                <w:color w:val="0D0D0D"/>
                <w:sz w:val="14"/>
                <w:szCs w:val="16"/>
              </w:rPr>
              <w:fldChar w:fldCharType="begin" w:fldLock="1"/>
            </w:r>
            <w:r w:rsidR="001D3C8C">
              <w:rPr>
                <w:color w:val="0D0D0D"/>
                <w:sz w:val="14"/>
                <w:szCs w:val="16"/>
                <w:lang w:val="en-GB"/>
              </w:rPr>
              <w:instrText>ADDIN CSL_CITATION {"citationItems":[{"id":"ITEM-1","itemData":{"DOI":"10.1016/j.apenergy.2014.09.018","ISSN":"03062619","abstract":"The main objective of this paper is to contribute to the discussion on the role of Net Zero Energy Buildings (Net ZEBs) on future energy systems by the interplay between on-site generation and the building loads, often called load matching, and the resulting import/export interaction with the surrounding electricity grid, commonly named grid interaction. This investigation analyzes five case studies with high resolution data, three of which are based on real monitored buildings. The research aims at selecting and suggesting a limited set of quantitative indicators that: (a) can provide practical information for building as well as grid designers and operators, and (b) are understandable for a wider audience and do not require complex simulation tools or additional resources. This paper also presents novel graphical representations describing the yearly or daily variation of the indexes in an understandable manner. It has been found that the hourly values of the cover factors (namely, the load cover factor and the supply cover factor) provide quite a good picture of the correlation between on-site demand and supply of energy. These factors illustrate both the daily and seasonal effect, the production pattern of different renewable energy technologies, and applied operation/control strategies. The loss-of load probability factor shows how often the on-site supply does not cover the on-site demand but it provides limited information. Several grid interaction indicators are presented in a normalized form based on the connection capacity between the building and the grid. The generation multiple is an index that compares peak values of exported/imported energy; it may also be used with generation/load values. The dimensioning rate and the connection capacity credit relate the building with the electrical grid. These indexes can be used to analyze individual buildings and extend their use in the case of cluster of buildings. Although some general trends have been identified in the results and the usefulness of these indicators is demonstrated, it should be noted that further studies are needed in order to define reference values for particular building topologies, clusters of buildings and climates, which could be used as a rule-of-thumb for grid/building designers.","author":[{"dropping-particle":"","family":"Salom","given":"Jaume","non-dropping-particle":"","parse-names":false,"suffix":""},{"dropping-particle":"","family":"Marszal","given":"Anna Joanna","non-dropping-particle":"","parse-names":false,"suffix":""},{"dropping-particle":"","family":"Widén","given":"Joakim","non-dropping-particle":"","parse-names":false,"suffix":""},{"dropping-particle":"","family":"Candanedo","given":"José","non-dropping-particle":"","parse-names":false,"suffix":""},{"dropping-particle":"","family":"Lindberg","given":"Karen Byskov","non-dropping-particle":"","parse-names":false,"suffix":""}],"container-title":"Applied Energy","id":"ITEM-1","issued":{"date-parts":[["2014"]]},"page":"119-131","publisher":"Elsevier Ltd","title":"Analysis of load match and grid interaction indicators in net zero energy buildings with simulated and monitored data","type":"article-journal","volume":"136"},"uris":["http://www.mendeley.com/documents/?uuid=f1a997ce-4117-4039-b0a5-e98079520527","http://www.mendeley.com/documents/?uuid=3b6880ad-57d5-4faa-872a-b403bb079112"]}],"mendeley":{"formattedCitation":"(Salom et al., 2014)","plainTextFormattedCitation":"(Salom et al., 2014)","previouslyFormattedCitation":"(Salom et al. 2014)"},"properties":{"noteIndex":0},"schema":"https://github.com/citation-style-language/schema/raw/master/csl-citation.json"}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(Salom et al., 2014)</w:t>
            </w:r>
            <w:r w:rsidRPr="00CA7A69">
              <w:rPr>
                <w:color w:val="0D0D0D"/>
                <w:sz w:val="14"/>
                <w:szCs w:val="16"/>
              </w:rPr>
              <w:fldChar w:fldCharType="end"/>
            </w:r>
            <w:r w:rsidRPr="00CA7A69">
              <w:rPr>
                <w:color w:val="0D0D0D"/>
                <w:sz w:val="14"/>
                <w:szCs w:val="16"/>
              </w:rPr>
              <w:t xml:space="preserve"> </w:t>
            </w:r>
            <w:r w:rsidRPr="00CA7A69">
              <w:rPr>
                <w:color w:val="0D0D0D"/>
                <w:sz w:val="14"/>
                <w:szCs w:val="16"/>
              </w:rPr>
              <w:fldChar w:fldCharType="begin" w:fldLock="1"/>
            </w:r>
            <w:r w:rsidR="001D3C8C">
              <w:rPr>
                <w:color w:val="0D0D0D"/>
                <w:sz w:val="14"/>
                <w:szCs w:val="16"/>
              </w:rPr>
              <w:instrText>ADDIN CSL_CITATION {"citationItems":[{"id":"ITEM-1","itemData":{"DOI":"10.1016/j.renene.2013.10.021","ISSN":"09601481","abstract":"A trend of increasing electrification will put a pressure on the reliability and stability of electrical distribution grids. Demand response, whereby the demand of electricity is adjusted to the availability, can ease this problem. A lab test setup was built to examine the potential of a heat pump for demand response purposes. With this test setup, it is possible to emulate the behaviour of a heat pump in a single household building equipped with either photovoltaic panels or a residential wind turbine. A market-based multi-agent system was developed to control the active heat pump. The goal of this active control was to limit the peak power demands of the building and to maximise the self-consumption of the locally produced electricity. For two weeks, the coldest winter week and an average winter week, the behaviour of the actively controlled heat pump was compared to a regular, heat-driven controlled heat pump.The tests show that the current heat pump controller is able to shave the power consumption peaks of the building. In this way, active control of the heat pump can diminish extra investment costs for grid reinforcement. Active control also enables self-consumption of locally produced electricity. However, because of the higher energy consumption, the current version of the active heat pump controller is not yet able to significantly decrease the consumption of grey electricity from the grid. © 2013 Elsevier Ltd.","author":[{"dropping-particle":"","family":"Vanhoudt","given":"D.","non-dropping-particle":"","parse-names":false,"suffix":""},{"dropping-particle":"","family":"Geysen","given":"D.","non-dropping-particle":"","parse-names":false,"suffix":""},{"dropping-particle":"","family":"Claessens","given":"B.","non-dropping-particle":"","parse-names":false,"suffix":""},{"dropping-particle":"","family":"Leemans","given":"F.","non-dropping-particle":"","parse-names":false,"suffix":""},{"dropping-particle":"","family":"Jespers","given":"L.","non-dropping-particle":"","parse-names":false,"suffix":""},{"dropping-particle":"","family":"Bael","given":"J.","non-dropping-particle":"Van","parse-names":false,"suffix":""}],"container-title":"Renewable Energy","id":"ITEM-1","issued":{"date-parts":[["2014"]]},"page":"531-543","publisher":"Elsevier Ltd","title":"An actively controlled residential heat pump: Potential on peak shaving and maximization of self-consumption of renewable energy","type":"article-journal","volume":"63"},"uris":["http://www.mendeley.com/documents/?uuid=6c30720e-0590-4947-834b-ed571ec0bbd2","http://www.mendeley.com/documents/?uuid=36ae9ce6-aef6-4eee-b6ad-2bda3fefffa8","http://www.mendeley.com/documents/?uuid=23b24802-cbb3-4164-97e1-d24f1ce1adbd"]}],"mendeley":{"formattedCitation":"(Vanhoudt et al., 2014)","plainTextFormattedCitation":"(Vanhoudt et al., 2014)","previouslyFormattedCitation":"(Vanhoudt et al. 2014)"},"properties":{"noteIndex":0},"schema":"https://github.com/citation-style-language/schema/raw/master/csl-citation.json"}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GB"/>
              </w:rPr>
              <w:t>(Vanhoudt et al., 2014)</w:t>
            </w:r>
            <w:r w:rsidRPr="00CA7A69">
              <w:rPr>
                <w:color w:val="0D0D0D"/>
                <w:sz w:val="14"/>
                <w:szCs w:val="16"/>
              </w:rPr>
              <w:fldChar w:fldCharType="end"/>
            </w:r>
          </w:p>
        </w:tc>
      </w:tr>
      <w:tr w:rsidR="00CA7A69" w:rsidRPr="00CA7A69" w14:paraId="654C80D9" w14:textId="77777777" w:rsidTr="00117EAB">
        <w:trPr>
          <w:trHeight w:val="380"/>
          <w:jc w:val="center"/>
        </w:trPr>
        <w:tc>
          <w:tcPr>
            <w:tcW w:w="546" w:type="dxa"/>
            <w:tcBorders>
              <w:top w:val="nil"/>
              <w:left w:val="nil"/>
              <w:bottom w:val="nil"/>
              <w:right w:val="nil"/>
            </w:tcBorders>
            <w:vAlign w:val="center"/>
          </w:tcPr>
          <w:p w14:paraId="5219DD79" w14:textId="5C0AD60C" w:rsidR="00CA7A69" w:rsidRPr="00CA7A69" w:rsidRDefault="00CA7A69" w:rsidP="00CA7A69">
            <w:pPr>
              <w:spacing w:before="120" w:line="360" w:lineRule="auto"/>
              <w:jc w:val="both"/>
              <w:rPr>
                <w:rFonts w:ascii="Palatino Linotype" w:hAnsi="Palatino Linotype"/>
                <w:color w:val="0D0D0D"/>
                <w:sz w:val="14"/>
                <w:szCs w:val="16"/>
                <w:lang w:val="en-US"/>
              </w:rPr>
            </w:pPr>
            <w:r w:rsidRPr="00CA7A69">
              <w:rPr>
                <w:rFonts w:ascii="Palatino Linotype" w:hAnsi="Palatino Linotype"/>
                <w:color w:val="0D0D0D"/>
                <w:sz w:val="14"/>
                <w:szCs w:val="16"/>
                <w:lang w:val="en-US"/>
              </w:rPr>
              <w:t>1.</w:t>
            </w:r>
            <w:r w:rsidR="00B55E3E">
              <w:rPr>
                <w:rFonts w:ascii="Palatino Linotype" w:hAnsi="Palatino Linotype"/>
                <w:color w:val="0D0D0D"/>
                <w:sz w:val="14"/>
                <w:szCs w:val="16"/>
                <w:lang w:val="en-US"/>
              </w:rPr>
              <w:t>4</w:t>
            </w:r>
          </w:p>
        </w:tc>
        <w:tc>
          <w:tcPr>
            <w:tcW w:w="3024" w:type="dxa"/>
            <w:tcBorders>
              <w:top w:val="nil"/>
              <w:left w:val="nil"/>
              <w:bottom w:val="nil"/>
              <w:right w:val="nil"/>
            </w:tcBorders>
            <w:vAlign w:val="center"/>
          </w:tcPr>
          <w:p w14:paraId="45524D56" w14:textId="77777777" w:rsidR="00CA7A69" w:rsidRPr="00CA7A69" w:rsidRDefault="00CA7A69" w:rsidP="00CA7A69">
            <w:pPr>
              <w:spacing w:before="120" w:line="360" w:lineRule="auto"/>
              <w:jc w:val="center"/>
              <w:rPr>
                <w:rFonts w:ascii="Palatino Linotype" w:hAnsi="Palatino Linotype"/>
                <w:bCs/>
                <w:color w:val="0D0D0D"/>
                <w:sz w:val="16"/>
                <w:szCs w:val="18"/>
                <w:lang w:val="en-GB"/>
              </w:rPr>
            </w:pPr>
            <w:r w:rsidRPr="00CA7A69">
              <w:rPr>
                <w:rFonts w:ascii="Palatino Linotype" w:hAnsi="Palatino Linotype"/>
                <w:color w:val="0D0D0D"/>
                <w:sz w:val="16"/>
                <w:szCs w:val="18"/>
                <w:lang w:val="en-US"/>
              </w:rPr>
              <w:t>Grid feed in (</w:t>
            </w:r>
            <m:oMath>
              <m:r>
                <w:rPr>
                  <w:rFonts w:ascii="Cambria Math" w:hAnsi="Cambria Math"/>
                  <w:color w:val="0D0D0D"/>
                  <w:sz w:val="16"/>
                  <w:szCs w:val="18"/>
                </w:rPr>
                <m:t>GFI</m:t>
              </m:r>
              <m:r>
                <w:rPr>
                  <w:rFonts w:ascii="Cambria Math" w:hAnsi="Cambria Math"/>
                  <w:color w:val="0D0D0D"/>
                  <w:sz w:val="16"/>
                  <w:szCs w:val="18"/>
                  <w:lang w:val="en-GB"/>
                </w:rPr>
                <m:t>)</m:t>
              </m:r>
            </m:oMath>
          </w:p>
        </w:tc>
        <w:tc>
          <w:tcPr>
            <w:tcW w:w="3964" w:type="dxa"/>
            <w:tcBorders>
              <w:top w:val="nil"/>
              <w:left w:val="nil"/>
              <w:bottom w:val="nil"/>
              <w:right w:val="nil"/>
            </w:tcBorders>
            <w:vAlign w:val="center"/>
          </w:tcPr>
          <w:p w14:paraId="016DC90B" w14:textId="77777777" w:rsidR="00CA7A69" w:rsidRPr="00CA7A69" w:rsidRDefault="00CA7A69" w:rsidP="00CA7A69">
            <w:pPr>
              <w:spacing w:line="360" w:lineRule="auto"/>
              <w:jc w:val="center"/>
              <w:rPr>
                <w:rFonts w:eastAsia="Calibri"/>
                <w:color w:val="0D0D0D"/>
                <w:sz w:val="18"/>
                <w:lang w:val="en-GB"/>
              </w:rPr>
            </w:pPr>
            <m:oMathPara>
              <m:oMath>
                <m:r>
                  <w:rPr>
                    <w:rFonts w:ascii="Cambria Math" w:hAnsi="Cambria Math"/>
                    <w:color w:val="0D0D0D"/>
                    <w:sz w:val="18"/>
                  </w:rPr>
                  <m:t>GFI</m:t>
                </m:r>
                <m:r>
                  <w:rPr>
                    <w:rFonts w:ascii="Cambria Math" w:hAnsi="Cambria Math"/>
                    <w:color w:val="0D0D0D"/>
                    <w:sz w:val="18"/>
                    <w:lang w:val="en-GB"/>
                  </w:rPr>
                  <m:t>=</m:t>
                </m:r>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T</m:t>
                    </m:r>
                  </m:sup>
                  <m:e>
                    <m:r>
                      <w:rPr>
                        <w:rFonts w:ascii="Cambria Math" w:hAnsi="Cambria Math"/>
                        <w:color w:val="0D0D0D"/>
                        <w:sz w:val="18"/>
                      </w:rPr>
                      <m:t>min</m:t>
                    </m:r>
                    <m:r>
                      <w:rPr>
                        <w:rFonts w:ascii="Cambria Math" w:hAnsi="Cambria Math"/>
                        <w:color w:val="0D0D0D"/>
                        <w:sz w:val="18"/>
                        <w:lang w:val="en-GB"/>
                      </w:rPr>
                      <m:t>(0,</m:t>
                    </m:r>
                    <m:r>
                      <w:rPr>
                        <w:rFonts w:ascii="Cambria Math" w:hAnsi="Cambria Math"/>
                        <w:color w:val="0D0D0D"/>
                        <w:sz w:val="18"/>
                      </w:rPr>
                      <m:t>g</m:t>
                    </m:r>
                    <m:d>
                      <m:dPr>
                        <m:ctrlPr>
                          <w:rPr>
                            <w:rFonts w:ascii="Cambria Math" w:hAnsi="Cambria Math"/>
                            <w:i/>
                            <w:color w:val="0D0D0D"/>
                            <w:sz w:val="18"/>
                          </w:rPr>
                        </m:ctrlPr>
                      </m:dPr>
                      <m:e>
                        <m:r>
                          <w:rPr>
                            <w:rFonts w:ascii="Cambria Math" w:hAnsi="Cambria Math"/>
                            <w:color w:val="0D0D0D"/>
                            <w:sz w:val="18"/>
                          </w:rPr>
                          <m:t>t</m:t>
                        </m:r>
                      </m:e>
                    </m:d>
                    <m:r>
                      <w:rPr>
                        <w:rFonts w:ascii="Cambria Math" w:hAnsi="Cambria Math"/>
                        <w:color w:val="0D0D0D"/>
                        <w:sz w:val="18"/>
                        <w:lang w:val="en-GB"/>
                      </w:rPr>
                      <m:t>-</m:t>
                    </m:r>
                    <m:r>
                      <w:rPr>
                        <w:rFonts w:ascii="Cambria Math" w:hAnsi="Cambria Math"/>
                        <w:color w:val="0D0D0D"/>
                        <w:sz w:val="18"/>
                      </w:rPr>
                      <m:t>l</m:t>
                    </m:r>
                    <m:r>
                      <w:rPr>
                        <w:rFonts w:ascii="Cambria Math" w:hAnsi="Cambria Math"/>
                        <w:color w:val="0D0D0D"/>
                        <w:sz w:val="18"/>
                        <w:lang w:val="en-GB"/>
                      </w:rPr>
                      <m:t>(</m:t>
                    </m:r>
                    <m:r>
                      <w:rPr>
                        <w:rFonts w:ascii="Cambria Math" w:hAnsi="Cambria Math"/>
                        <w:color w:val="0D0D0D"/>
                        <w:sz w:val="18"/>
                      </w:rPr>
                      <m:t>t</m:t>
                    </m:r>
                    <m:r>
                      <w:rPr>
                        <w:rFonts w:ascii="Cambria Math" w:hAnsi="Cambria Math"/>
                        <w:color w:val="0D0D0D"/>
                        <w:sz w:val="18"/>
                        <w:lang w:val="en-GB"/>
                      </w:rPr>
                      <m:t>)</m:t>
                    </m:r>
                  </m:e>
                </m:nary>
                <m:r>
                  <w:rPr>
                    <w:rFonts w:ascii="Cambria Math" w:hAnsi="Cambria Math"/>
                    <w:color w:val="0D0D0D"/>
                    <w:sz w:val="18"/>
                    <w:lang w:val="en-GB"/>
                  </w:rPr>
                  <m:t>)</m:t>
                </m:r>
                <m:r>
                  <w:rPr>
                    <w:rFonts w:ascii="Cambria Math" w:hAnsi="Cambria Math"/>
                    <w:color w:val="0D0D0D"/>
                    <w:sz w:val="18"/>
                  </w:rPr>
                  <m:t>dt</m:t>
                </m:r>
              </m:oMath>
            </m:oMathPara>
          </w:p>
        </w:tc>
        <w:tc>
          <w:tcPr>
            <w:tcW w:w="5391" w:type="dxa"/>
            <w:vMerge/>
            <w:tcBorders>
              <w:top w:val="nil"/>
              <w:left w:val="nil"/>
              <w:bottom w:val="nil"/>
              <w:right w:val="nil"/>
            </w:tcBorders>
          </w:tcPr>
          <w:p w14:paraId="6BC65494" w14:textId="77777777" w:rsidR="00CA7A69" w:rsidRPr="00CA7A69" w:rsidRDefault="00CA7A69" w:rsidP="00CA7A69">
            <w:pPr>
              <w:spacing w:line="360" w:lineRule="auto"/>
              <w:jc w:val="both"/>
              <w:rPr>
                <w:rFonts w:ascii="Palatino Linotype" w:hAnsi="Palatino Linotype"/>
                <w:color w:val="0D0D0D"/>
                <w:sz w:val="16"/>
                <w:szCs w:val="18"/>
                <w:lang w:val="en-GB"/>
              </w:rPr>
            </w:pPr>
          </w:p>
        </w:tc>
        <w:tc>
          <w:tcPr>
            <w:tcW w:w="1413" w:type="dxa"/>
            <w:tcBorders>
              <w:top w:val="nil"/>
              <w:left w:val="nil"/>
              <w:bottom w:val="nil"/>
              <w:right w:val="nil"/>
            </w:tcBorders>
            <w:vAlign w:val="center"/>
          </w:tcPr>
          <w:p w14:paraId="32A7AAB4" w14:textId="37EF8AAA" w:rsidR="00CA7A69" w:rsidRPr="00CA7A69" w:rsidRDefault="00CA7A69" w:rsidP="00CA7A69">
            <w:pPr>
              <w:spacing w:before="20" w:line="360" w:lineRule="auto"/>
              <w:jc w:val="both"/>
              <w:rPr>
                <w:color w:val="0D0D0D"/>
                <w:sz w:val="14"/>
                <w:szCs w:val="16"/>
              </w:rPr>
            </w:pPr>
            <w:r w:rsidRPr="00CA7A69">
              <w:rPr>
                <w:color w:val="0D0D0D"/>
                <w:sz w:val="14"/>
                <w:szCs w:val="16"/>
              </w:rPr>
              <w:fldChar w:fldCharType="begin" w:fldLock="1"/>
            </w:r>
            <w:r w:rsidR="001D3C8C">
              <w:rPr>
                <w:color w:val="0D0D0D"/>
                <w:sz w:val="14"/>
                <w:szCs w:val="16"/>
                <w:lang w:val="en-GB"/>
              </w:rPr>
              <w:instrText>ADDIN CSL_CITATION {"citationItems":[{"id":"ITEM-1","itemData":{"DOI":"10.13140/RG.2.2.28740.73609","author":[{"dropping-particle":"","family":"Finck","given":"C.","non-dropping-particle":"","parse-names":false,"suffix":""},{"dropping-particle":"","family":"Beagon","given":"P.","non-dropping-particle":"","parse-names":false,"suffix":""},{"dropping-particle":"","family":"Clauß","given":"J.","non-dropping-particle":"","parse-names":false,"suffix":""},{"dropping-particle":"","family":"Pean","given":"T.","non-dropping-particle":"","parse-names":false,"suffix":""},{"dropping-particle":"","family":"Vogler-Finck","given":"P.J.C.","non-dropping-particle":"","parse-names":false,"suffix":""},{"dropping-particle":"","family":"Zhang","given":"K.","non-dropping-particle":"","parse-names":false,"suffix":""},{"dropping-particle":"","family":"Kazmi","given":"H.","non-dropping-particle":"","parse-names":false,"suffix":""}],"id":"ITEM-1","issued":{"date-parts":[["2017"]]},"page":"1-59","title":"Review of applied and tested control possibilities for energy flexibility in buildings: a technical report from IEA EBC Annex 67 Energy Flexible Buildings","type":"article-journal"},"uris":["http://www.mendeley.com/documents/?uuid=c50b8f9a-2617-48b1-99aa-8db08d706031","http://www.mendeley.com/documents/?uuid=318c8829-a4d8-4372-845a-7ae550fe1d0d","http://www.mendeley.com/documents/?uuid=a8da3e1d-8ca2-41e6-accc-966e01d02724"]}],"mendeley":{"formattedCitation":"(Finck et al., 2017)","plainTextFormattedCitation":"(Finck et al., 2017)","previouslyFormattedCitation":"(Finck et al. 2017)"},"properties":{"noteIndex":0},"schema":"https://github.com/citation-style-language/schema/raw/master/csl-citation.json"}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(Finck et al., 2017)</w:t>
            </w:r>
            <w:r w:rsidRPr="00CA7A69">
              <w:rPr>
                <w:color w:val="0D0D0D"/>
                <w:sz w:val="14"/>
                <w:szCs w:val="16"/>
              </w:rPr>
              <w:fldChar w:fldCharType="end"/>
            </w:r>
          </w:p>
        </w:tc>
      </w:tr>
      <w:tr w:rsidR="00CA7A69" w:rsidRPr="00CA7A69" w14:paraId="1B1DE52A" w14:textId="77777777" w:rsidTr="00117EAB">
        <w:trPr>
          <w:trHeight w:val="885"/>
          <w:jc w:val="center"/>
        </w:trPr>
        <w:tc>
          <w:tcPr>
            <w:tcW w:w="546" w:type="dxa"/>
            <w:tcBorders>
              <w:top w:val="nil"/>
              <w:left w:val="nil"/>
              <w:bottom w:val="nil"/>
              <w:right w:val="nil"/>
            </w:tcBorders>
            <w:vAlign w:val="center"/>
          </w:tcPr>
          <w:p w14:paraId="42F7ED48" w14:textId="183153E8" w:rsidR="00CA7A69" w:rsidRPr="00CA7A69" w:rsidRDefault="00CA7A69" w:rsidP="00CA7A69">
            <w:pPr>
              <w:spacing w:before="80" w:line="360" w:lineRule="auto"/>
              <w:jc w:val="both"/>
              <w:rPr>
                <w:rFonts w:ascii="Palatino Linotype" w:hAnsi="Palatino Linotype"/>
                <w:bCs/>
                <w:color w:val="0D0D0D"/>
                <w:sz w:val="14"/>
                <w:szCs w:val="16"/>
                <w:lang w:val="en-GB"/>
              </w:rPr>
            </w:pPr>
            <w:r w:rsidRPr="00CA7A69">
              <w:rPr>
                <w:rFonts w:ascii="Palatino Linotype" w:hAnsi="Palatino Linotype"/>
                <w:bCs/>
                <w:color w:val="0D0D0D"/>
                <w:sz w:val="14"/>
                <w:szCs w:val="16"/>
                <w:lang w:val="en-GB"/>
              </w:rPr>
              <w:t>1.</w:t>
            </w:r>
            <w:r w:rsidR="00B55E3E">
              <w:rPr>
                <w:rFonts w:ascii="Palatino Linotype" w:hAnsi="Palatino Linotype"/>
                <w:bCs/>
                <w:color w:val="0D0D0D"/>
                <w:sz w:val="14"/>
                <w:szCs w:val="16"/>
                <w:lang w:val="en-GB"/>
              </w:rPr>
              <w:t>3</w:t>
            </w:r>
          </w:p>
        </w:tc>
        <w:tc>
          <w:tcPr>
            <w:tcW w:w="3024" w:type="dxa"/>
            <w:tcBorders>
              <w:top w:val="nil"/>
              <w:left w:val="nil"/>
              <w:bottom w:val="nil"/>
              <w:right w:val="nil"/>
            </w:tcBorders>
            <w:vAlign w:val="center"/>
          </w:tcPr>
          <w:p w14:paraId="3C56C4F0" w14:textId="77777777" w:rsidR="00CA7A69" w:rsidRPr="00CA7A69" w:rsidRDefault="00CA7A69" w:rsidP="00CA7A69">
            <w:pPr>
              <w:spacing w:before="8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Load match factor (f</w:t>
            </w:r>
            <w:r w:rsidRPr="00CA7A69">
              <w:rPr>
                <w:rFonts w:ascii="Palatino Linotype" w:hAnsi="Palatino Linotype"/>
                <w:bCs/>
                <w:color w:val="0D0D0D"/>
                <w:sz w:val="16"/>
                <w:szCs w:val="18"/>
                <w:vertAlign w:val="subscript"/>
                <w:lang w:val="en-GB"/>
              </w:rPr>
              <w:t>load</w:t>
            </w:r>
            <w:r w:rsidRPr="00CA7A69">
              <w:rPr>
                <w:rFonts w:ascii="Palatino Linotype" w:hAnsi="Palatino Linotype"/>
                <w:bCs/>
                <w:color w:val="0D0D0D"/>
                <w:sz w:val="16"/>
                <w:szCs w:val="18"/>
                <w:lang w:val="en-GB"/>
              </w:rPr>
              <w:t>), Load match index (</w:t>
            </w:r>
            <m:oMath>
              <m:r>
                <w:rPr>
                  <w:rFonts w:ascii="Cambria Math" w:hAnsi="Cambria Math"/>
                  <w:color w:val="0D0D0D"/>
                  <w:sz w:val="16"/>
                  <w:szCs w:val="18"/>
                  <w:lang w:val="en-GB"/>
                </w:rPr>
                <m:t>LMI</m:t>
              </m:r>
              <m:r>
                <m:rPr>
                  <m:sty m:val="p"/>
                </m:rPr>
                <w:rPr>
                  <w:rFonts w:ascii="Cambria Math" w:hAnsi="Cambria Math"/>
                  <w:color w:val="0D0D0D"/>
                  <w:sz w:val="16"/>
                  <w:szCs w:val="18"/>
                  <w:lang w:val="en-GB"/>
                </w:rPr>
                <m:t>)</m:t>
              </m:r>
            </m:oMath>
          </w:p>
        </w:tc>
        <w:tc>
          <w:tcPr>
            <w:tcW w:w="3964" w:type="dxa"/>
            <w:tcBorders>
              <w:top w:val="nil"/>
              <w:left w:val="nil"/>
              <w:bottom w:val="nil"/>
              <w:right w:val="nil"/>
            </w:tcBorders>
            <w:vAlign w:val="center"/>
          </w:tcPr>
          <w:p w14:paraId="67CE0699" w14:textId="77777777" w:rsidR="00CA7A69" w:rsidRPr="00CA7A69" w:rsidRDefault="005B195F" w:rsidP="00CA7A69">
            <w:pPr>
              <w:spacing w:line="360" w:lineRule="auto"/>
              <w:jc w:val="center"/>
              <w:rPr>
                <w:i/>
                <w:color w:val="0D0D0D"/>
                <w:sz w:val="18"/>
                <w:lang w:val="en-GB"/>
              </w:rPr>
            </w:pPr>
            <m:oMathPara>
              <m:oMath>
                <m:sSub>
                  <m:sSubPr>
                    <m:ctrlPr>
                      <w:rPr>
                        <w:rFonts w:ascii="Cambria Math" w:hAnsi="Cambria Math" w:cs="Cambria Math"/>
                        <w:i/>
                        <w:color w:val="0D0D0D"/>
                        <w:sz w:val="18"/>
                      </w:rPr>
                    </m:ctrlPr>
                  </m:sSubPr>
                  <m:e>
                    <m:r>
                      <w:rPr>
                        <w:rFonts w:ascii="Cambria Math" w:hAnsi="Cambria Math" w:cs="Cambria Math"/>
                        <w:color w:val="0D0D0D"/>
                        <w:sz w:val="18"/>
                        <w:lang w:val="en-GB"/>
                      </w:rPr>
                      <m:t>f</m:t>
                    </m:r>
                  </m:e>
                  <m:sub>
                    <m:r>
                      <w:rPr>
                        <w:rFonts w:ascii="Cambria Math" w:hAnsi="Cambria Math" w:cs="Cambria Math"/>
                        <w:color w:val="0D0D0D"/>
                        <w:sz w:val="18"/>
                        <w:lang w:val="en-GB"/>
                      </w:rPr>
                      <m:t>load</m:t>
                    </m:r>
                  </m:sub>
                </m:sSub>
                <m:r>
                  <w:rPr>
                    <w:rFonts w:ascii="Cambria Math" w:hAnsi="Cambria Math" w:cs="Cambria Math"/>
                    <w:color w:val="0D0D0D"/>
                    <w:sz w:val="18"/>
                    <w:lang w:val="en-GB"/>
                  </w:rPr>
                  <m:t>=min</m:t>
                </m:r>
                <m:d>
                  <m:dPr>
                    <m:begChr m:val="["/>
                    <m:endChr m:val="]"/>
                    <m:ctrlPr>
                      <w:rPr>
                        <w:rFonts w:ascii="Cambria Math" w:hAnsi="Cambria Math" w:cs="Cambria Math"/>
                        <w:i/>
                        <w:color w:val="0D0D0D"/>
                        <w:sz w:val="18"/>
                      </w:rPr>
                    </m:ctrlPr>
                  </m:dPr>
                  <m:e>
                    <m:r>
                      <w:rPr>
                        <w:rFonts w:ascii="Cambria Math" w:hAnsi="Cambria Math" w:cs="Cambria Math"/>
                        <w:color w:val="0D0D0D"/>
                        <w:sz w:val="18"/>
                        <w:lang w:val="en-GB"/>
                      </w:rPr>
                      <m:t>1,</m:t>
                    </m:r>
                    <m:f>
                      <m:fPr>
                        <m:ctrlPr>
                          <w:rPr>
                            <w:rFonts w:ascii="Cambria Math" w:hAnsi="Cambria Math" w:cs="Cambria Math"/>
                            <w:i/>
                            <w:color w:val="0D0D0D"/>
                            <w:sz w:val="18"/>
                          </w:rPr>
                        </m:ctrlPr>
                      </m:fPr>
                      <m:num>
                        <m:r>
                          <w:rPr>
                            <w:rFonts w:ascii="Cambria Math" w:hAnsi="Cambria Math" w:cs="Cambria Math"/>
                            <w:color w:val="0D0D0D"/>
                            <w:sz w:val="18"/>
                            <w:lang w:val="en-GB"/>
                          </w:rPr>
                          <m:t>g(t)</m:t>
                        </m:r>
                      </m:num>
                      <m:den>
                        <m:r>
                          <w:rPr>
                            <w:rFonts w:ascii="Cambria Math" w:hAnsi="Cambria Math" w:cs="Cambria Math"/>
                            <w:color w:val="0D0D0D"/>
                            <w:sz w:val="18"/>
                            <w:lang w:val="en-GB"/>
                          </w:rPr>
                          <m:t>l(t)</m:t>
                        </m:r>
                      </m:den>
                    </m:f>
                  </m:e>
                </m:d>
                <m:r>
                  <w:rPr>
                    <w:rFonts w:ascii="Cambria Math" w:hAnsi="Cambria Math" w:cs="Cambria Math"/>
                    <w:color w:val="0D0D0D"/>
                    <w:sz w:val="18"/>
                    <w:lang w:val="en-GB"/>
                  </w:rPr>
                  <m:t>100</m:t>
                </m:r>
                <m:d>
                  <m:dPr>
                    <m:begChr m:val="["/>
                    <m:endChr m:val="]"/>
                    <m:ctrlPr>
                      <w:rPr>
                        <w:rFonts w:ascii="Cambria Math" w:hAnsi="Cambria Math" w:cs="Cambria Math"/>
                        <w:i/>
                        <w:color w:val="0D0D0D"/>
                        <w:sz w:val="18"/>
                      </w:rPr>
                    </m:ctrlPr>
                  </m:dPr>
                  <m:e>
                    <m:r>
                      <w:rPr>
                        <w:rFonts w:ascii="Cambria Math" w:hAnsi="Cambria Math" w:cs="Cambria Math"/>
                        <w:color w:val="0D0D0D"/>
                        <w:sz w:val="18"/>
                        <w:lang w:val="en-GB"/>
                      </w:rPr>
                      <m:t>%</m:t>
                    </m:r>
                  </m:e>
                </m:d>
              </m:oMath>
            </m:oMathPara>
          </w:p>
          <w:p w14:paraId="65E00C7F" w14:textId="77777777" w:rsidR="00CA7A69" w:rsidRPr="00CA7A69" w:rsidRDefault="00CA7A69" w:rsidP="00CA7A69">
            <w:pPr>
              <w:spacing w:line="360" w:lineRule="auto"/>
              <w:jc w:val="center"/>
              <w:rPr>
                <w:rFonts w:eastAsia="Calibri"/>
                <w:color w:val="0D0D0D"/>
                <w:sz w:val="18"/>
                <w:lang w:val="en-GB"/>
              </w:rPr>
            </w:pPr>
            <m:oMathPara>
              <m:oMath>
                <m:r>
                  <w:rPr>
                    <w:rFonts w:ascii="Cambria Math" w:hAnsi="Cambria Math"/>
                    <w:color w:val="0D0D0D"/>
                    <w:sz w:val="18"/>
                    <w:lang w:val="en-GB"/>
                  </w:rPr>
                  <m:t>LMI=</m:t>
                </m:r>
                <m:f>
                  <m:fPr>
                    <m:ctrlPr>
                      <w:rPr>
                        <w:rFonts w:ascii="Cambria Math" w:hAnsi="Cambria Math"/>
                        <w:i/>
                        <w:color w:val="0D0D0D"/>
                        <w:sz w:val="18"/>
                      </w:rPr>
                    </m:ctrlPr>
                  </m:fPr>
                  <m:num>
                    <m:r>
                      <w:rPr>
                        <w:rFonts w:ascii="Cambria Math" w:hAnsi="Cambria Math"/>
                        <w:color w:val="0D0D0D"/>
                        <w:sz w:val="18"/>
                        <w:lang w:val="en-GB"/>
                      </w:rPr>
                      <m:t>1</m:t>
                    </m:r>
                  </m:num>
                  <m:den>
                    <m:r>
                      <w:rPr>
                        <w:rFonts w:ascii="Cambria Math" w:hAnsi="Cambria Math"/>
                        <w:color w:val="0D0D0D"/>
                        <w:sz w:val="18"/>
                        <w:lang w:val="en-GB"/>
                      </w:rPr>
                      <m:t>T</m:t>
                    </m:r>
                  </m:den>
                </m:f>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lang w:val="en-GB"/>
                      </w:rPr>
                      <m:t>T</m:t>
                    </m:r>
                  </m:sup>
                  <m:e>
                    <m:r>
                      <w:rPr>
                        <w:rFonts w:ascii="Cambria Math" w:hAnsi="Cambria Math" w:cs="Cambria Math"/>
                        <w:color w:val="0D0D0D"/>
                        <w:sz w:val="18"/>
                        <w:lang w:val="en-GB"/>
                      </w:rPr>
                      <m:t>min</m:t>
                    </m:r>
                    <m:d>
                      <m:dPr>
                        <m:begChr m:val="["/>
                        <m:endChr m:val="]"/>
                        <m:ctrlPr>
                          <w:rPr>
                            <w:rFonts w:ascii="Cambria Math" w:hAnsi="Cambria Math" w:cs="Cambria Math"/>
                            <w:i/>
                            <w:color w:val="0D0D0D"/>
                            <w:sz w:val="18"/>
                          </w:rPr>
                        </m:ctrlPr>
                      </m:dPr>
                      <m:e>
                        <m:r>
                          <w:rPr>
                            <w:rFonts w:ascii="Cambria Math" w:hAnsi="Cambria Math" w:cs="Cambria Math"/>
                            <w:color w:val="0D0D0D"/>
                            <w:sz w:val="18"/>
                            <w:lang w:val="en-GB"/>
                          </w:rPr>
                          <m:t>1,</m:t>
                        </m:r>
                        <m:f>
                          <m:fPr>
                            <m:ctrlPr>
                              <w:rPr>
                                <w:rFonts w:ascii="Cambria Math" w:hAnsi="Cambria Math" w:cs="Cambria Math"/>
                                <w:i/>
                                <w:color w:val="0D0D0D"/>
                                <w:sz w:val="18"/>
                              </w:rPr>
                            </m:ctrlPr>
                          </m:fPr>
                          <m:num>
                            <m:r>
                              <w:rPr>
                                <w:rFonts w:ascii="Cambria Math" w:hAnsi="Cambria Math" w:cs="Cambria Math"/>
                                <w:color w:val="0D0D0D"/>
                                <w:sz w:val="18"/>
                                <w:lang w:val="en-GB"/>
                              </w:rPr>
                              <m:t>g(t)</m:t>
                            </m:r>
                          </m:num>
                          <m:den>
                            <m:r>
                              <w:rPr>
                                <w:rFonts w:ascii="Cambria Math" w:hAnsi="Cambria Math" w:cs="Cambria Math"/>
                                <w:color w:val="0D0D0D"/>
                                <w:sz w:val="18"/>
                                <w:lang w:val="en-GB"/>
                              </w:rPr>
                              <m:t>l(t)</m:t>
                            </m:r>
                          </m:den>
                        </m:f>
                      </m:e>
                    </m:d>
                  </m:e>
                </m:nary>
              </m:oMath>
            </m:oMathPara>
          </w:p>
        </w:tc>
        <w:tc>
          <w:tcPr>
            <w:tcW w:w="5391" w:type="dxa"/>
            <w:vMerge/>
            <w:tcBorders>
              <w:top w:val="nil"/>
              <w:left w:val="nil"/>
              <w:bottom w:val="nil"/>
              <w:right w:val="nil"/>
            </w:tcBorders>
          </w:tcPr>
          <w:p w14:paraId="5F4C5A12" w14:textId="77777777" w:rsidR="00CA7A69" w:rsidRPr="00CA7A69" w:rsidRDefault="00CA7A69" w:rsidP="00CA7A69">
            <w:pPr>
              <w:spacing w:line="360" w:lineRule="auto"/>
              <w:jc w:val="both"/>
              <w:rPr>
                <w:rFonts w:ascii="Palatino Linotype" w:hAnsi="Palatino Linotype"/>
                <w:color w:val="0D0D0D"/>
                <w:sz w:val="16"/>
                <w:szCs w:val="18"/>
                <w:lang w:val="en-US"/>
              </w:rPr>
            </w:pPr>
          </w:p>
        </w:tc>
        <w:tc>
          <w:tcPr>
            <w:tcW w:w="1413" w:type="dxa"/>
            <w:tcBorders>
              <w:top w:val="nil"/>
              <w:left w:val="nil"/>
              <w:bottom w:val="nil"/>
              <w:right w:val="nil"/>
            </w:tcBorders>
            <w:vAlign w:val="center"/>
          </w:tcPr>
          <w:p w14:paraId="0F286100" w14:textId="1B2E1567" w:rsidR="00CA7A69" w:rsidRPr="00B55E3E" w:rsidRDefault="00CA7A69" w:rsidP="00CA7A69">
            <w:pPr>
              <w:spacing w:before="20" w:line="360" w:lineRule="auto"/>
              <w:jc w:val="both"/>
              <w:rPr>
                <w:color w:val="0D0D0D"/>
                <w:sz w:val="14"/>
                <w:szCs w:val="16"/>
                <w:lang w:val="sv-SE"/>
              </w:rPr>
            </w:pPr>
            <w:r w:rsidRPr="00CA7A69">
              <w:rPr>
                <w:color w:val="0D0D0D"/>
                <w:sz w:val="14"/>
                <w:szCs w:val="16"/>
                <w:lang w:val="en-US"/>
              </w:rPr>
              <w:fldChar w:fldCharType="begin" w:fldLock="1"/>
            </w:r>
            <w:r w:rsidR="001D3C8C">
              <w:rPr>
                <w:color w:val="0D0D0D"/>
                <w:sz w:val="14"/>
                <w:szCs w:val="16"/>
                <w:lang w:val="en-US"/>
              </w:rPr>
              <w:instrText>ADDIN CSL_CITATION {"citationItems":[{"id":"ITEM-1","itemData":{"DOI":"10.18086/eurosun.2010.06.24","abstract":"Although several alternative definitions exist, a Net- Zero Energy Building (Net ZEB) can be succinctly described as a grid-connected building that generates as much energy as it uses over a year. The net-zero balance is attained by applying energy conservation and efficiency measures and by incorporating renewable energy systems. While based on annual balances, a complete description of a Net ZEB requires examining the system at smaller time-scales. This assessment should address: (a) the relationship between power generation and building loads and (b) the resulting interaction with the power grid. This paper presents and categorizes quantitative indicators suitable to describe both aspects of the buildings performance. These indicators, named LMGI - Load Matching and Grid Interaction indicators, are easily quantifiable and could complement the output variables of existing building simulation tools. The indicators and examples presented here deal only with electric generation and loads.","author":[{"dropping-particle":"","family":"Voss","given":"Karsten","non-dropping-particle":"","parse-names":false,"suffix":""},{"dropping-particle":"","family":"Sartori","given":"Igor","non-dropping-particle":"","parse-names":false,"suffix":""},{"dropping-particle":"","family":"Napolitano","given":"Assunta","non-dropping-particle":"","parse-names":false,"suffix":""},{"dropping-particle":"","family":"Geier","given":"Sonja","non-dropping-particle":"","parse-names":false,"suffix":""},{"dropping-particle":"","family":"Gonçalves","given":"Helder","non-dropping-particle":"","parse-names":false,"suffix":""},{"dropping-particle":"","family":"Hall","given":"Monika","non-dropping-particle":"","parse-names":false,"suffix":""},{"dropping-particle":"","family":"Heiselberg","given":"Per","non-dropping-particle":"","parse-names":false,"suffix":""},{"dropping-particle":"","family":"Widén","given":"Joakim","non-dropping-particle":"","parse-names":false,"suffix":""},{"dropping-particle":"","family":"Candanedo","given":"José A.","non-dropping-particle":"","parse-names":false,"suffix":""},{"dropping-particle":"","family":"Musall","given":"Eike","non-dropping-particle":"","parse-names":false,"suffix":""},{"dropping-particle":"","family":"Karlsson","given":"Björn","non-dropping-particle":"","parse-names":false,"suffix":""},{"dropping-particle":"","family":"Torcellini","given":"Paul","non-dropping-particle":"","parse-names":false,"suffix":""}],"id":"ITEM-1","issued":{"date-parts":[["2016"]]},"page":"1-8","title":"Load Matching and Grid Interaction of Net Zero Energy Buildings","type":"article-journal"},"uris":["http://www.mendeley.com/documents/?uuid=d67342bd-0e7f-483b-90fb-03585bf657aa","http://www.mendeley.com/documents/?uuid=fcfb5abc-fda5-49ea-be00-30e1ec088091","http://www.mendeley.com/documents/?uuid=85fadd8c-01c2-48ff-8f88-0cbf7dad2523"]}],"mendeley":{"formattedCitation":"(Voss et al., 2016)","plainTextFormattedCitation":"(Voss et al., 2016)","previouslyFormattedCitation":"(Voss et al. 2016)"},"properties":{"noteIndex":0},"schema":"https://github.com/citation-style-language/schema/raw/master/csl-citation.json"}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sv-SE"/>
              </w:rPr>
              <w:t>(Voss et al., 2016)</w:t>
            </w:r>
            <w:r w:rsidRPr="00CA7A69">
              <w:rPr>
                <w:color w:val="0D0D0D"/>
                <w:sz w:val="14"/>
                <w:szCs w:val="16"/>
                <w:lang w:val="en-US"/>
              </w:rPr>
              <w:fldChar w:fldCharType="end"/>
            </w:r>
            <w:r w:rsidRPr="0063587D">
              <w:rPr>
                <w:color w:val="0D0D0D"/>
                <w:sz w:val="14"/>
                <w:szCs w:val="16"/>
                <w:lang w:val="sv-SE"/>
              </w:rPr>
              <w:t xml:space="preserve"> </w:t>
            </w:r>
            <w:r w:rsidRPr="00CA7A69">
              <w:rPr>
                <w:color w:val="0D0D0D"/>
                <w:sz w:val="14"/>
                <w:szCs w:val="16"/>
                <w:lang w:val="en-US"/>
              </w:rPr>
              <w:fldChar w:fldCharType="begin" w:fldLock="1"/>
            </w:r>
            <w:r w:rsidR="001D3C8C">
              <w:rPr>
                <w:color w:val="0D0D0D"/>
                <w:sz w:val="14"/>
                <w:szCs w:val="16"/>
                <w:lang w:val="sv-SE"/>
              </w:rPr>
              <w:instrText>ADDIN CSL_CITATION {"citationItems":[{"id":"ITEM-1","itemData":{"DOI":"10.1080/09613218.2012.683241","ISSN":"09613218","abstract":"The progression towards low- or zero-carbon buildings (as evidenced in the defined goals of the UK's Code for Sustainable Homes) introduces a paradigm shift for the energy supply infrastructure. It will no longer be sufficient to understand buildings as the demand side of an energy system - the supply side will also need consideration. Currently, electricity mainly accounts for the positive side of zero-energy building energy balances. In future, energy management strategies could also include local heat trading schemes to capitalize on local energy balancing. The topic of load matching between a building's electrical and thermal needs and its distributed generation is examined. Some of the most promising solutions to manage energy supply intermittency are only available on a larger scale than individual buildings. The intermediate scale of the urban neighbourhood has the potential to address energy supply and demand structures and create high-performance buildings and settlements. The commitment to the introduction of nearly zero-carbon buildings thus introduces a need to evaluate alternative system boundaries for describing the energy balance of buildings and their impact on local energy networks at a suitable scale. The implications for the research agenda are discussed. © 2012 Taylor &amp; Francis.","author":[{"dropping-particle":"","family":"Koch","given":"Andreas","non-dropping-particle":"","parse-names":false,"suffix":""},{"dropping-particle":"","family":"Girard","given":"Sébastien","non-dropping-particle":"","parse-names":false,"suffix":""},{"dropping-particle":"","family":"McKoen","given":"Kevin","non-dropping-particle":"","parse-names":false,"suffix":""}],"container-title":"Building Research and Information","id":"ITEM-1","issue":"4","issued":{"date-parts":[["2012"]]},"page":"527-537","title":"Towards a neighbourhood scale for low- or zero-carbon building projects","type":"article-journal","volume":"40"},"uris":["http://www.mendeley.com/documents/?uuid=f38577cc-fab3-4cf9-aef0-7a48cdbb5222","http://www.mendeley.com/documents/?uuid=7fda6202-e26f-428e-95a7-d572f74daa27","http://www.mendeley.com/documents/?uuid=0f9b4c71-2a24-40c4-9ce3-795394c4083c"]}],"mendeley":{"formattedCitation":"(Koch et al., 2012)","plainTextFormattedCitation":"(Koch et al., 2012)","previouslyFormattedCitation":"(Koch, Girard, and McKoen 2012)"},"properties":{"noteIndex":0},"schema":"https://github.com/citation-style-language/schema/raw/master/csl-citation.json"}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sv-SE"/>
              </w:rPr>
              <w:t>(Koch et al., 2012)</w:t>
            </w:r>
            <w:r w:rsidRPr="00CA7A69">
              <w:rPr>
                <w:color w:val="0D0D0D"/>
                <w:sz w:val="14"/>
                <w:szCs w:val="16"/>
                <w:lang w:val="en-US"/>
              </w:rPr>
              <w:fldChar w:fldCharType="end"/>
            </w:r>
            <w:r w:rsidRPr="0063587D">
              <w:rPr>
                <w:color w:val="0D0D0D"/>
                <w:sz w:val="14"/>
                <w:szCs w:val="16"/>
                <w:lang w:val="sv-SE"/>
              </w:rPr>
              <w:t xml:space="preserve"> </w:t>
            </w:r>
            <w:r w:rsidRPr="00CA7A69">
              <w:rPr>
                <w:color w:val="0D0D0D"/>
                <w:sz w:val="14"/>
                <w:szCs w:val="16"/>
                <w:lang w:val="en-US"/>
              </w:rPr>
              <w:fldChar w:fldCharType="begin" w:fldLock="1"/>
            </w:r>
            <w:r w:rsidR="001D3C8C">
              <w:rPr>
                <w:color w:val="0D0D0D"/>
                <w:sz w:val="14"/>
                <w:szCs w:val="16"/>
                <w:lang w:val="sv-SE"/>
              </w:rPr>
              <w:instrText>ADDIN CSL_CITATION {"citationItems":[{"id":"ITEM-1","itemData":{"abstract":"Although several alternative definitions exist, a Net-Zero Energy Building (Net ZEB) can be succinctly described as a grid-connected building that generates as much energy as it uses over a year. The \"net-zero\" balance is attained by applying energy conservation and efficiency measures and by incorporating renewable energy systems. While based on annual balances, a complete description of a Net ZEB requires examining the system at smaller time-scales. This assessment should address: (a) the relationship between power generation and building loads and (b) the resulting interaction with the power grid. This paper presents and categorizes quantitative indicators suitable to describe both aspects of the building's performance. These indicators, named LMGI - Load Matching and Grid Interaction indicators, are easily quantifiable and could complement the output variables of existing building simulation tools. The indicators and examples presented here deal only with electric generation and loads.","author":[{"dropping-particle":"","family":"Salom","given":"Jaume","non-dropping-particle":"","parse-names":false,"suffix":""},{"dropping-particle":"","family":"Widén","given":"Joakim","non-dropping-particle":"","parse-names":false,"suffix":""},{"dropping-particle":"","family":"Candanedo","given":"José","non-dropping-particle":"","parse-names":false,"suffix":""},{"dropping-particle":"","family":"Sartori","given":"Igor","non-dropping-particle":"","parse-names":false,"suffix":""},{"dropping-particle":"","family":"Voss","given":"Karsten","non-dropping-particle":"","parse-names":false,"suffix":""},{"dropping-particle":"","family":"Marszal","given":"Anna","non-dropping-particle":"","parse-names":false,"suffix":""}],"container-title":"Proceedings of Building Simulation 2011: 12th Conference of International Building Performance Simulation Association","id":"ITEM-1","issued":{"date-parts":[["2011"]]},"page":"2514-2521","title":"Understanding net zero energy buildings: Evaluation of load matching and grid interaction indicators","type":"article-journal","volume":"6"},"uris":["http://www.mendeley.com/documents/?uuid=5d053fb3-fdc8-45db-abeb-bb421230278c","http://www.mendeley.com/documents/?uuid=08494205-5df3-464f-a59c-cce93470f748","http://www.mendeley.com/documents/?uuid=e2974cfd-e0be-430a-aa6f-705bcd8f5b3d"]}],"mendeley":{"formattedCitation":"(Salom et al., 2011)","plainTextFormattedCitation":"(Salom et al., 2011)","previouslyFormattedCitation":"(Salom et al. 2011)"},"properties":{"noteIndex":0},"schema":"https://github.com/citation-style-language/schema/raw/master/csl-citation.json"}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sv-SE"/>
              </w:rPr>
              <w:t>(Salom et al., 2011)</w:t>
            </w:r>
            <w:r w:rsidRPr="00CA7A69">
              <w:rPr>
                <w:color w:val="0D0D0D"/>
                <w:sz w:val="14"/>
                <w:szCs w:val="16"/>
                <w:lang w:val="en-US"/>
              </w:rPr>
              <w:fldChar w:fldCharType="end"/>
            </w:r>
          </w:p>
        </w:tc>
      </w:tr>
      <w:tr w:rsidR="00CA7A69" w:rsidRPr="00CA7A69" w14:paraId="2F03D75E" w14:textId="77777777" w:rsidTr="00117EAB">
        <w:trPr>
          <w:trHeight w:val="786"/>
          <w:jc w:val="center"/>
        </w:trPr>
        <w:tc>
          <w:tcPr>
            <w:tcW w:w="546" w:type="dxa"/>
            <w:tcBorders>
              <w:top w:val="nil"/>
              <w:left w:val="nil"/>
              <w:bottom w:val="nil"/>
              <w:right w:val="nil"/>
            </w:tcBorders>
            <w:vAlign w:val="center"/>
          </w:tcPr>
          <w:p w14:paraId="64ED3D85" w14:textId="77777777" w:rsidR="00CA7A69" w:rsidRPr="00CA7A69" w:rsidRDefault="00CA7A69" w:rsidP="00CA7A69">
            <w:pPr>
              <w:spacing w:before="80" w:line="360" w:lineRule="auto"/>
              <w:jc w:val="both"/>
              <w:rPr>
                <w:rFonts w:ascii="Palatino Linotype" w:hAnsi="Palatino Linotype"/>
                <w:bCs/>
                <w:color w:val="0D0D0D"/>
                <w:sz w:val="14"/>
                <w:szCs w:val="16"/>
                <w:lang w:val="en-US"/>
              </w:rPr>
            </w:pPr>
            <w:r w:rsidRPr="00CA7A69">
              <w:rPr>
                <w:rFonts w:ascii="Palatino Linotype" w:hAnsi="Palatino Linotype"/>
                <w:bCs/>
                <w:color w:val="0D0D0D"/>
                <w:sz w:val="14"/>
                <w:szCs w:val="16"/>
                <w:lang w:val="en-US"/>
              </w:rPr>
              <w:t>1.5</w:t>
            </w:r>
          </w:p>
        </w:tc>
        <w:tc>
          <w:tcPr>
            <w:tcW w:w="3024" w:type="dxa"/>
            <w:tcBorders>
              <w:top w:val="nil"/>
              <w:left w:val="nil"/>
              <w:bottom w:val="nil"/>
              <w:right w:val="nil"/>
            </w:tcBorders>
            <w:vAlign w:val="center"/>
          </w:tcPr>
          <w:p w14:paraId="7C5DF92B" w14:textId="77777777" w:rsidR="00CA7A69" w:rsidRPr="00CA7A69" w:rsidRDefault="00CA7A69" w:rsidP="00CA7A69">
            <w:pPr>
              <w:spacing w:before="80" w:line="360" w:lineRule="auto"/>
              <w:jc w:val="center"/>
              <w:rPr>
                <w:rFonts w:ascii="Palatino Linotype" w:hAnsi="Palatino Linotype"/>
                <w:bCs/>
                <w:color w:val="0D0D0D"/>
                <w:sz w:val="16"/>
                <w:szCs w:val="18"/>
                <w:lang w:val="en-US"/>
              </w:rPr>
            </w:pPr>
            <w:r w:rsidRPr="00CA7A69">
              <w:rPr>
                <w:rFonts w:ascii="Palatino Linotype" w:hAnsi="Palatino Linotype"/>
                <w:bCs/>
                <w:color w:val="0D0D0D"/>
                <w:sz w:val="16"/>
                <w:szCs w:val="18"/>
                <w:lang w:val="en-US"/>
              </w:rPr>
              <w:t>Grid interaction index (</w:t>
            </w:r>
            <m:oMath>
              <m:sSub>
                <m:sSubPr>
                  <m:ctrlPr>
                    <w:rPr>
                      <w:rFonts w:ascii="Cambria Math" w:hAnsi="Cambria Math" w:cs="Cambria Math"/>
                      <w:color w:val="0D0D0D"/>
                      <w:sz w:val="16"/>
                      <w:szCs w:val="18"/>
                    </w:rPr>
                  </m:ctrlPr>
                </m:sSubPr>
                <m:e>
                  <m:r>
                    <w:rPr>
                      <w:rFonts w:ascii="Cambria Math" w:hAnsi="Cambria Math" w:cs="Cambria Math"/>
                      <w:color w:val="0D0D0D"/>
                      <w:sz w:val="16"/>
                      <w:szCs w:val="18"/>
                    </w:rPr>
                    <m:t>f</m:t>
                  </m:r>
                </m:e>
                <m:sub>
                  <m:r>
                    <w:rPr>
                      <w:rFonts w:ascii="Cambria Math" w:hAnsi="Cambria Math" w:cs="Cambria Math"/>
                      <w:color w:val="0D0D0D"/>
                      <w:sz w:val="16"/>
                      <w:szCs w:val="18"/>
                    </w:rPr>
                    <m:t>grid</m:t>
                  </m:r>
                </m:sub>
              </m:sSub>
            </m:oMath>
            <w:r w:rsidRPr="00CA7A69">
              <w:rPr>
                <w:rFonts w:ascii="Palatino Linotype" w:hAnsi="Palatino Linotype"/>
                <w:bCs/>
                <w:color w:val="0D0D0D"/>
                <w:sz w:val="16"/>
                <w:szCs w:val="18"/>
                <w:lang w:val="en-US"/>
              </w:rPr>
              <w:t>)</w:t>
            </w:r>
          </w:p>
        </w:tc>
        <w:tc>
          <w:tcPr>
            <w:tcW w:w="3964" w:type="dxa"/>
            <w:tcBorders>
              <w:top w:val="nil"/>
              <w:left w:val="nil"/>
              <w:bottom w:val="nil"/>
              <w:right w:val="nil"/>
            </w:tcBorders>
            <w:vAlign w:val="center"/>
          </w:tcPr>
          <w:p w14:paraId="3C2CEF5E" w14:textId="77777777" w:rsidR="00CA7A69" w:rsidRPr="00CA7A69" w:rsidRDefault="005B195F" w:rsidP="00CA7A69">
            <w:pPr>
              <w:spacing w:line="360" w:lineRule="auto"/>
              <w:jc w:val="center"/>
              <w:rPr>
                <w:color w:val="0D0D0D"/>
                <w:lang w:val="en-US"/>
              </w:rPr>
            </w:pPr>
            <m:oMathPara>
              <m:oMath>
                <m:sSub>
                  <m:sSubPr>
                    <m:ctrlPr>
                      <w:rPr>
                        <w:rFonts w:ascii="Cambria Math" w:hAnsi="Cambria Math" w:cs="Cambria Math"/>
                        <w:color w:val="0D0D0D"/>
                      </w:rPr>
                    </m:ctrlPr>
                  </m:sSubPr>
                  <m:e>
                    <m:r>
                      <w:rPr>
                        <w:rFonts w:ascii="Cambria Math" w:hAnsi="Cambria Math" w:cs="Cambria Math"/>
                        <w:color w:val="0D0D0D"/>
                      </w:rPr>
                      <m:t>f</m:t>
                    </m:r>
                  </m:e>
                  <m:sub>
                    <m:r>
                      <w:rPr>
                        <w:rFonts w:ascii="Cambria Math" w:hAnsi="Cambria Math" w:cs="Cambria Math"/>
                        <w:color w:val="0D0D0D"/>
                      </w:rPr>
                      <m:t>grid</m:t>
                    </m:r>
                    <m:r>
                      <w:rPr>
                        <w:rFonts w:ascii="Cambria Math" w:hAnsi="Cambria Math" w:cs="Cambria Math"/>
                        <w:color w:val="0D0D0D"/>
                        <w:lang w:val="en-US"/>
                      </w:rPr>
                      <m:t>,</m:t>
                    </m:r>
                    <m:r>
                      <w:rPr>
                        <w:rFonts w:ascii="Cambria Math" w:hAnsi="Cambria Math" w:cs="Cambria Math"/>
                        <w:color w:val="0D0D0D"/>
                      </w:rPr>
                      <m:t>T</m:t>
                    </m:r>
                  </m:sub>
                </m:sSub>
                <m:r>
                  <m:rPr>
                    <m:sty m:val="p"/>
                  </m:rPr>
                  <w:rPr>
                    <w:rFonts w:ascii="Cambria Math" w:hAnsi="Cambria Math" w:cs="Cambria Math"/>
                    <w:color w:val="0D0D0D"/>
                    <w:lang w:val="en-US"/>
                  </w:rPr>
                  <m:t>=</m:t>
                </m:r>
                <m:f>
                  <m:fPr>
                    <m:ctrlPr>
                      <w:rPr>
                        <w:rFonts w:ascii="Cambria Math" w:hAnsi="Cambria Math" w:cs="Cambria Math"/>
                        <w:color w:val="0D0D0D"/>
                      </w:rPr>
                    </m:ctrlPr>
                  </m:fPr>
                  <m:num>
                    <m:r>
                      <w:rPr>
                        <w:rFonts w:ascii="Cambria Math" w:hAnsi="Cambria Math" w:cs="Cambria Math"/>
                        <w:color w:val="0D0D0D"/>
                      </w:rPr>
                      <m:t>net</m:t>
                    </m:r>
                    <m:r>
                      <w:rPr>
                        <w:rFonts w:ascii="Cambria Math" w:hAnsi="Cambria Math" w:cs="Cambria Math"/>
                        <w:color w:val="0D0D0D"/>
                        <w:lang w:val="en-US"/>
                      </w:rPr>
                      <m:t xml:space="preserve"> </m:t>
                    </m:r>
                    <m:r>
                      <w:rPr>
                        <w:rFonts w:ascii="Cambria Math" w:hAnsi="Cambria Math" w:cs="Cambria Math"/>
                        <w:color w:val="0D0D0D"/>
                      </w:rPr>
                      <m:t>grid</m:t>
                    </m:r>
                  </m:num>
                  <m:den>
                    <m:r>
                      <w:rPr>
                        <w:rFonts w:ascii="Cambria Math" w:hAnsi="Cambria Math" w:cs="Cambria Math"/>
                        <w:color w:val="0D0D0D"/>
                      </w:rPr>
                      <m:t>max</m:t>
                    </m:r>
                    <m:d>
                      <m:dPr>
                        <m:begChr m:val="|"/>
                        <m:endChr m:val="|"/>
                        <m:ctrlPr>
                          <w:rPr>
                            <w:rFonts w:ascii="Cambria Math" w:hAnsi="Cambria Math" w:cs="Cambria Math"/>
                            <w:i/>
                            <w:color w:val="0D0D0D"/>
                          </w:rPr>
                        </m:ctrlPr>
                      </m:dPr>
                      <m:e>
                        <m:r>
                          <w:rPr>
                            <w:rFonts w:ascii="Cambria Math" w:hAnsi="Cambria Math" w:cs="Cambria Math"/>
                            <w:color w:val="0D0D0D"/>
                          </w:rPr>
                          <m:t>net</m:t>
                        </m:r>
                        <m:r>
                          <w:rPr>
                            <w:rFonts w:ascii="Cambria Math" w:hAnsi="Cambria Math" w:cs="Cambria Math"/>
                            <w:color w:val="0D0D0D"/>
                            <w:lang w:val="en-US"/>
                          </w:rPr>
                          <m:t xml:space="preserve"> </m:t>
                        </m:r>
                        <m:r>
                          <w:rPr>
                            <w:rFonts w:ascii="Cambria Math" w:hAnsi="Cambria Math" w:cs="Cambria Math"/>
                            <w:color w:val="0D0D0D"/>
                          </w:rPr>
                          <m:t>grid</m:t>
                        </m:r>
                      </m:e>
                    </m:d>
                  </m:den>
                </m:f>
                <m:r>
                  <m:rPr>
                    <m:sty m:val="p"/>
                  </m:rPr>
                  <w:rPr>
                    <w:rFonts w:ascii="Cambria Math" w:hAnsi="Cambria Math" w:cs="Cambria Math"/>
                    <w:color w:val="0D0D0D"/>
                    <w:lang w:val="en-US"/>
                  </w:rPr>
                  <m:t>100</m:t>
                </m:r>
                <m:d>
                  <m:dPr>
                    <m:begChr m:val="["/>
                    <m:endChr m:val="]"/>
                    <m:ctrlPr>
                      <w:rPr>
                        <w:rFonts w:ascii="Cambria Math" w:hAnsi="Cambria Math" w:cs="Cambria Math"/>
                        <w:color w:val="0D0D0D"/>
                      </w:rPr>
                    </m:ctrlPr>
                  </m:dPr>
                  <m:e>
                    <m:r>
                      <w:rPr>
                        <w:rFonts w:ascii="Cambria Math" w:hAnsi="Cambria Math" w:cs="Cambria Math"/>
                        <w:color w:val="0D0D0D"/>
                        <w:lang w:val="en-US"/>
                      </w:rPr>
                      <m:t>%</m:t>
                    </m:r>
                  </m:e>
                </m:d>
              </m:oMath>
            </m:oMathPara>
          </w:p>
          <w:p w14:paraId="22E7AFA8" w14:textId="77777777" w:rsidR="00CA7A69" w:rsidRPr="00CA7A69" w:rsidRDefault="005B195F" w:rsidP="00CA7A69">
            <w:pPr>
              <w:spacing w:line="360" w:lineRule="auto"/>
              <w:jc w:val="center"/>
              <w:rPr>
                <w:rFonts w:eastAsia="Calibri"/>
                <w:iCs/>
                <w:color w:val="0D0D0D"/>
                <w:sz w:val="18"/>
                <w:lang w:val="en-US"/>
              </w:rPr>
            </w:pPr>
            <m:oMathPara>
              <m:oMath>
                <m:sSub>
                  <m:sSubPr>
                    <m:ctrlPr>
                      <w:rPr>
                        <w:rFonts w:ascii="Cambria Math" w:hAnsi="Cambria Math" w:cs="Cambria Math"/>
                        <w:iCs/>
                        <w:color w:val="0D0D0D"/>
                        <w:sz w:val="18"/>
                      </w:rPr>
                    </m:ctrlPr>
                  </m:sSubPr>
                  <m:e>
                    <m:r>
                      <m:rPr>
                        <m:sty m:val="p"/>
                      </m:rPr>
                      <w:rPr>
                        <w:rFonts w:ascii="Cambria Math" w:hAnsi="Cambria Math" w:cs="Cambria Math"/>
                        <w:color w:val="0D0D0D"/>
                        <w:sz w:val="18"/>
                      </w:rPr>
                      <m:t>f</m:t>
                    </m:r>
                  </m:e>
                  <m:sub>
                    <m:r>
                      <m:rPr>
                        <m:sty m:val="p"/>
                      </m:rPr>
                      <w:rPr>
                        <w:rFonts w:ascii="Cambria Math" w:hAnsi="Cambria Math" w:cs="Cambria Math"/>
                        <w:color w:val="0D0D0D"/>
                        <w:sz w:val="18"/>
                      </w:rPr>
                      <m:t>grid</m:t>
                    </m:r>
                    <m:r>
                      <m:rPr>
                        <m:sty m:val="p"/>
                      </m:rPr>
                      <w:rPr>
                        <w:rFonts w:ascii="Cambria Math" w:hAnsi="Cambria Math" w:cs="Cambria Math"/>
                        <w:color w:val="0D0D0D"/>
                        <w:sz w:val="18"/>
                        <w:lang w:val="en-US"/>
                      </w:rPr>
                      <m:t>,</m:t>
                    </m:r>
                    <m:r>
                      <m:rPr>
                        <m:sty m:val="p"/>
                      </m:rPr>
                      <w:rPr>
                        <w:rFonts w:ascii="Cambria Math" w:hAnsi="Cambria Math" w:cs="Cambria Math"/>
                        <w:color w:val="0D0D0D"/>
                        <w:sz w:val="18"/>
                      </w:rPr>
                      <m:t>year</m:t>
                    </m:r>
                  </m:sub>
                </m:sSub>
                <m:r>
                  <m:rPr>
                    <m:sty m:val="p"/>
                  </m:rPr>
                  <w:rPr>
                    <w:rFonts w:ascii="Cambria Math" w:hAnsi="Cambria Math"/>
                    <w:color w:val="0D0D0D"/>
                    <w:sz w:val="18"/>
                    <w:lang w:val="en-US"/>
                  </w:rPr>
                  <m:t>=</m:t>
                </m:r>
                <m:r>
                  <m:rPr>
                    <m:sty m:val="p"/>
                  </m:rPr>
                  <w:rPr>
                    <w:rFonts w:ascii="Cambria Math" w:hAnsi="Cambria Math"/>
                    <w:color w:val="0D0D0D"/>
                    <w:sz w:val="18"/>
                  </w:rPr>
                  <m:t>STD</m:t>
                </m:r>
                <m:d>
                  <m:dPr>
                    <m:ctrlPr>
                      <w:rPr>
                        <w:rFonts w:ascii="Cambria Math" w:hAnsi="Cambria Math"/>
                        <w:iCs/>
                        <w:color w:val="0D0D0D"/>
                        <w:sz w:val="18"/>
                      </w:rPr>
                    </m:ctrlPr>
                  </m:dPr>
                  <m:e>
                    <m:sSub>
                      <m:sSubPr>
                        <m:ctrlPr>
                          <w:rPr>
                            <w:rFonts w:ascii="Cambria Math" w:hAnsi="Cambria Math"/>
                            <w:iCs/>
                            <w:color w:val="0D0D0D"/>
                            <w:sz w:val="18"/>
                          </w:rPr>
                        </m:ctrlPr>
                      </m:sSubPr>
                      <m:e>
                        <m:r>
                          <m:rPr>
                            <m:sty m:val="p"/>
                          </m:rPr>
                          <w:rPr>
                            <w:rFonts w:ascii="Cambria Math" w:hAnsi="Cambria Math"/>
                            <w:color w:val="0D0D0D"/>
                            <w:sz w:val="18"/>
                          </w:rPr>
                          <m:t>f</m:t>
                        </m:r>
                      </m:e>
                      <m:sub>
                        <m:r>
                          <m:rPr>
                            <m:sty m:val="p"/>
                          </m:rPr>
                          <w:rPr>
                            <w:rFonts w:ascii="Cambria Math" w:hAnsi="Cambria Math"/>
                            <w:color w:val="0D0D0D"/>
                            <w:sz w:val="18"/>
                          </w:rPr>
                          <m:t>grid</m:t>
                        </m:r>
                        <m:r>
                          <m:rPr>
                            <m:sty m:val="p"/>
                          </m:rPr>
                          <w:rPr>
                            <w:rFonts w:ascii="Cambria Math" w:hAnsi="Cambria Math"/>
                            <w:color w:val="0D0D0D"/>
                            <w:sz w:val="18"/>
                            <w:lang w:val="en-US"/>
                          </w:rPr>
                          <m:t>,</m:t>
                        </m:r>
                        <m:r>
                          <m:rPr>
                            <m:sty m:val="p"/>
                          </m:rPr>
                          <w:rPr>
                            <w:rFonts w:ascii="Cambria Math" w:hAnsi="Cambria Math"/>
                            <w:color w:val="0D0D0D"/>
                            <w:sz w:val="18"/>
                          </w:rPr>
                          <m:t>T</m:t>
                        </m:r>
                      </m:sub>
                    </m:sSub>
                  </m:e>
                </m:d>
              </m:oMath>
            </m:oMathPara>
          </w:p>
        </w:tc>
        <w:tc>
          <w:tcPr>
            <w:tcW w:w="5391" w:type="dxa"/>
            <w:tcBorders>
              <w:top w:val="nil"/>
              <w:left w:val="nil"/>
              <w:bottom w:val="nil"/>
              <w:right w:val="nil"/>
            </w:tcBorders>
          </w:tcPr>
          <w:p w14:paraId="2D4A96F3" w14:textId="77777777" w:rsidR="00CA7A69" w:rsidRPr="00CA7A69" w:rsidRDefault="00CA7A69" w:rsidP="00CA7A69">
            <w:pPr>
              <w:spacing w:before="80"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t>• SD: Standard deviation</w:t>
            </w:r>
          </w:p>
          <w:p w14:paraId="218DB6BB" w14:textId="77777777" w:rsidR="00CA7A69" w:rsidRPr="00CA7A69" w:rsidRDefault="00CA7A69" w:rsidP="00CA7A69">
            <w:pPr>
              <w:spacing w:before="80"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t>• net grid: Energy exported to the grid minus the energy imported from the grid</w:t>
            </w:r>
          </w:p>
          <w:p w14:paraId="54A7DE3A" w14:textId="77777777" w:rsidR="00CA7A69" w:rsidRPr="00CA7A69" w:rsidRDefault="00CA7A69" w:rsidP="00CA7A69">
            <w:pPr>
              <w:spacing w:before="80" w:line="360" w:lineRule="auto"/>
              <w:jc w:val="both"/>
              <w:rPr>
                <w:rFonts w:ascii="Palatino Linotype" w:hAnsi="Palatino Linotype"/>
                <w:color w:val="0D0D0D"/>
                <w:sz w:val="16"/>
                <w:szCs w:val="18"/>
                <w:lang w:val="en-US"/>
              </w:rPr>
            </w:pPr>
          </w:p>
        </w:tc>
        <w:tc>
          <w:tcPr>
            <w:tcW w:w="1413" w:type="dxa"/>
            <w:tcBorders>
              <w:top w:val="nil"/>
              <w:left w:val="nil"/>
              <w:bottom w:val="nil"/>
              <w:right w:val="nil"/>
            </w:tcBorders>
            <w:vAlign w:val="center"/>
          </w:tcPr>
          <w:p w14:paraId="47053D0C" w14:textId="4E1860AB" w:rsidR="00CA7A69" w:rsidRPr="00CA7A69" w:rsidRDefault="00CA7A69" w:rsidP="00CA7A69">
            <w:pPr>
              <w:spacing w:before="20" w:line="360" w:lineRule="auto"/>
              <w:jc w:val="both"/>
              <w:rPr>
                <w:color w:val="0D0D0D"/>
                <w:sz w:val="14"/>
                <w:szCs w:val="16"/>
                <w:lang w:val="en-GB"/>
              </w:rPr>
            </w:pPr>
            <w:r w:rsidRPr="00CA7A69">
              <w:rPr>
                <w:color w:val="0D0D0D"/>
                <w:sz w:val="14"/>
                <w:szCs w:val="16"/>
                <w:lang w:val="en-US"/>
              </w:rPr>
              <w:fldChar w:fldCharType="begin" w:fldLock="1"/>
            </w:r>
            <w:r w:rsidR="001D3C8C">
              <w:rPr>
                <w:color w:val="0D0D0D"/>
                <w:sz w:val="14"/>
                <w:szCs w:val="16"/>
                <w:lang w:val="en-US"/>
              </w:rPr>
              <w:instrText>ADDIN CSL_CITATION {"citationItems":[{"id":"ITEM-1","itemData":{"abstract":"Although several alternative definitions exist, a Net-Zero Energy Building (Net ZEB) can be succinctly described as a grid-connected building that generates as much energy as it uses over a year. The \"net-zero\" balance is attained by applying energy conservation and efficiency measures and by incorporating renewable energy systems. While based on annual balances, a complete description of a Net ZEB requires examining the system at smaller time-scales. This assessment should address: (a) the relationship between power generation and building loads and (b) the resulting interaction with the power grid. This paper presents and categorizes quantitative indicators suitable to describe both aspects of the building's performance. These indicators, named LMGI - Load Matching and Grid Interaction indicators, are easily quantifiable and could complement the output variables of existing building simulation tools. The indicators and examples presented here deal only with electric generation and loads.","author":[{"dropping-particle":"","family":"Salom","given":"Jaume","non-dropping-particle":"","parse-names":false,"suffix":""},{"dropping-particle":"","family":"Widén","given":"Joakim","non-dropping-particle":"","parse-names":false,"suffix":""},{"dropping-particle":"","family":"Candanedo","given":"José","non-dropping-particle":"","parse-names":false,"suffix":""},{"dropping-particle":"","family":"Sartori","given":"Igor","non-dropping-particle":"","parse-names":false,"suffix":""},{"dropping-particle":"","family":"Voss","given":"Karsten","non-dropping-particle":"","parse-names":false,"suffix":""},{"dropping-particle":"","family":"Marszal","given":"Anna","non-dropping-particle":"","parse-names":false,"suffix":""}],"container-title":"Proceedings of Building Simulation 2011: 12th Conference of International Building Performance Simulation Association","id":"ITEM-1","issued":{"date-parts":[["2011"]]},"page":"2514-2521","title":"Understanding net zero energy buildings: Evaluation of load matching and grid interaction indicators","type":"article-journal","volume":"6"},"uris":["http://www.mendeley.com/documents/?uuid=e2974cfd-e0be-430a-aa6f-705bcd8f5b3d","http://www.mendeley.com/documents/?uuid=08494205-5df3-464f-a59c-cce93470f748","http://www.mendeley.com/documents/?uuid=5d053fb3-fdc8-45db-abeb-bb421230278c"]}],"mendeley":{"formattedCitation":"(Salom et al., 2011)","plainTextFormattedCitation":"(Salom et al., 2011)","previouslyFormattedCitation":"(Salom et al. 2011)"},"properties":{"noteIndex":0},"schema":"https://github.com/citation-style-language/schema/raw/master/csl-citation.json"}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en-US"/>
              </w:rPr>
              <w:t>(Salom et al., 2011)</w:t>
            </w:r>
            <w:r w:rsidRPr="00CA7A69">
              <w:rPr>
                <w:color w:val="0D0D0D"/>
                <w:sz w:val="14"/>
                <w:szCs w:val="16"/>
                <w:lang w:val="en-US"/>
              </w:rPr>
              <w:fldChar w:fldCharType="end"/>
            </w:r>
            <w:r w:rsidRPr="00CA7A69">
              <w:rPr>
                <w:color w:val="0D0D0D"/>
                <w:sz w:val="14"/>
                <w:szCs w:val="16"/>
                <w:lang w:val="en-US"/>
              </w:rPr>
              <w:t xml:space="preserve"> </w:t>
            </w:r>
            <w:r w:rsidRPr="00CA7A69">
              <w:rPr>
                <w:color w:val="0D0D0D"/>
                <w:sz w:val="14"/>
                <w:szCs w:val="16"/>
                <w:lang w:val="en-US"/>
              </w:rPr>
              <w:fldChar w:fldCharType="begin" w:fldLock="1"/>
            </w:r>
            <w:r w:rsidR="001D3C8C">
              <w:rPr>
                <w:color w:val="0D0D0D"/>
                <w:sz w:val="14"/>
                <w:szCs w:val="16"/>
                <w:lang w:val="en-US"/>
              </w:rPr>
              <w:instrText>ADDIN CSL_CITATION {"citationItems":[{"id":"ITEM-1","itemData":{"DOI":"10.18086/eurosun.2010.06.24","abstract":"Although several alternative definitions exist, a Net- Zero Energy Building (Net ZEB) can be succinctly described as a grid-connected building that generates as much energy as it uses over a year. The net-zero balance is attained by applying energy conservation and efficiency measures and by incorporating renewable energy systems. While based on annual balances, a complete description of a Net ZEB requires examining the system at smaller time-scales. This assessment should address: (a) the relationship between power generation and building loads and (b) the resulting interaction with the power grid. This paper presents and categorizes quantitative indicators suitable to describe both aspects of the buildings performance. These indicators, named LMGI - Load Matching and Grid Interaction indicators, are easily quantifiable and could complement the output variables of existing building simulation tools. The indicators and examples presented here deal only with electric generation and loads.","author":[{"dropping-particle":"","family":"Voss","given":"Karsten","non-dropping-particle":"","parse-names":false,"suffix":""},{"dropping-particle":"","family":"Sartori","given":"Igor","non-dropping-particle":"","parse-names":false,"suffix":""},{"dropping-particle":"","family":"Napolitano","given":"Assunta","non-dropping-particle":"","parse-names":false,"suffix":""},{"dropping-particle":"","family":"Geier","given":"Sonja","non-dropping-particle":"","parse-names":false,"suffix":""},{"dropping-particle":"","family":"Gonçalves","given":"Helder","non-dropping-particle":"","parse-names":false,"suffix":""},{"dropping-particle":"","family":"Hall","given":"Monika","non-dropping-particle":"","parse-names":false,"suffix":""},{"dropping-particle":"","family":"Heiselberg","given":"Per","non-dropping-particle":"","parse-names":false,"suffix":""},{"dropping-particle":"","family":"Widén","given":"Joakim","non-dropping-particle":"","parse-names":false,"suffix":""},{"dropping-particle":"","family":"Candanedo","given":"José A.","non-dropping-particle":"","parse-names":false,"suffix":""},{"dropping-particle":"","family":"Musall","given":"Eike","non-dropping-particle":"","parse-names":false,"suffix":""},{"dropping-particle":"","family":"Karlsson","given":"Björn","non-dropping-particle":"","parse-names":false,"suffix":""},{"dropping-particle":"","family":"Torcellini","given":"Paul","non-dropping-particle":"","parse-names":false,"suffix":""}],"id":"ITEM-1","issued":{"date-parts":[["2016"]]},"page":"1-8","title":"Load Matching and Grid Interaction of Net Zero Energy Buildings","type":"article-journal"},"uris":["http://www.mendeley.com/documents/?uuid=85fadd8c-01c2-48ff-8f88-0cbf7dad2523","http://www.mendeley.com/documents/?uuid=fcfb5abc-fda5-49ea-be00-30e1ec088091","http://www.mendeley.com/documents/?uuid=d67342bd-0e7f-483b-90fb-03585bf657aa"]}],"mendeley":{"formattedCitation":"(Voss et al., 2016)","plainTextFormattedCitation":"(Voss et al., 2016)","previouslyFormattedCitation":"(Voss et al. 2016)"},"properties":{"noteIndex":0},"schema":"https://github.com/citation-style-language/schema/raw/master/csl-citation.json"}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en-US"/>
              </w:rPr>
              <w:t>(Voss et al., 2016)</w:t>
            </w:r>
            <w:r w:rsidRPr="00CA7A69">
              <w:rPr>
                <w:color w:val="0D0D0D"/>
                <w:sz w:val="14"/>
                <w:szCs w:val="16"/>
                <w:lang w:val="en-US"/>
              </w:rPr>
              <w:fldChar w:fldCharType="end"/>
            </w:r>
          </w:p>
        </w:tc>
      </w:tr>
      <w:tr w:rsidR="00CA7A69" w:rsidRPr="00CA7A69" w14:paraId="0CE08511" w14:textId="77777777" w:rsidTr="00B55E3E">
        <w:trPr>
          <w:trHeight w:val="478"/>
          <w:jc w:val="center"/>
        </w:trPr>
        <w:tc>
          <w:tcPr>
            <w:tcW w:w="546" w:type="dxa"/>
            <w:tcBorders>
              <w:top w:val="nil"/>
              <w:left w:val="nil"/>
              <w:bottom w:val="single" w:sz="4" w:space="0" w:color="auto"/>
              <w:right w:val="nil"/>
            </w:tcBorders>
            <w:vAlign w:val="center"/>
          </w:tcPr>
          <w:p w14:paraId="4169FB1A" w14:textId="77777777" w:rsidR="00CA7A69" w:rsidRPr="00CA7A69" w:rsidRDefault="00CA7A69" w:rsidP="00CA7A69">
            <w:pPr>
              <w:spacing w:before="120" w:line="360" w:lineRule="auto"/>
              <w:jc w:val="both"/>
              <w:rPr>
                <w:rFonts w:ascii="Palatino Linotype" w:hAnsi="Palatino Linotype"/>
                <w:bCs/>
                <w:color w:val="0D0D0D"/>
                <w:sz w:val="14"/>
                <w:szCs w:val="16"/>
                <w:lang w:val="en-US"/>
              </w:rPr>
            </w:pPr>
            <w:r w:rsidRPr="00CA7A69">
              <w:rPr>
                <w:rFonts w:ascii="Palatino Linotype" w:hAnsi="Palatino Linotype"/>
                <w:bCs/>
                <w:color w:val="0D0D0D"/>
                <w:sz w:val="14"/>
                <w:szCs w:val="16"/>
                <w:lang w:val="en-US"/>
              </w:rPr>
              <w:t>1.6</w:t>
            </w:r>
          </w:p>
        </w:tc>
        <w:tc>
          <w:tcPr>
            <w:tcW w:w="3024" w:type="dxa"/>
            <w:tcBorders>
              <w:top w:val="nil"/>
              <w:left w:val="nil"/>
              <w:bottom w:val="single" w:sz="4" w:space="0" w:color="auto"/>
              <w:right w:val="nil"/>
            </w:tcBorders>
            <w:vAlign w:val="center"/>
          </w:tcPr>
          <w:p w14:paraId="19D2F900" w14:textId="77777777" w:rsidR="00CA7A69" w:rsidRPr="00CA7A69" w:rsidRDefault="00CA7A69" w:rsidP="00CA7A69">
            <w:pPr>
              <w:spacing w:before="120" w:line="360" w:lineRule="auto"/>
              <w:jc w:val="center"/>
              <w:rPr>
                <w:rFonts w:ascii="Palatino Linotype" w:hAnsi="Palatino Linotype"/>
                <w:bCs/>
                <w:color w:val="0D0D0D"/>
                <w:sz w:val="16"/>
                <w:szCs w:val="18"/>
                <w:lang w:val="en-US"/>
              </w:rPr>
            </w:pPr>
            <w:r w:rsidRPr="00CA7A69">
              <w:rPr>
                <w:rFonts w:ascii="Palatino Linotype" w:hAnsi="Palatino Linotype"/>
                <w:bCs/>
                <w:color w:val="0D0D0D"/>
                <w:sz w:val="16"/>
                <w:szCs w:val="18"/>
                <w:lang w:val="en-US"/>
              </w:rPr>
              <w:t>Loss of Load probability (</w:t>
            </w:r>
            <m:oMath>
              <m:r>
                <w:rPr>
                  <w:rFonts w:ascii="Cambria Math" w:hAnsi="Cambria Math"/>
                  <w:color w:val="0D0D0D"/>
                  <w:sz w:val="16"/>
                  <w:szCs w:val="18"/>
                </w:rPr>
                <m:t>LOLP</m:t>
              </m:r>
            </m:oMath>
            <w:r w:rsidRPr="00CA7A69">
              <w:rPr>
                <w:rFonts w:ascii="Palatino Linotype" w:hAnsi="Palatino Linotype"/>
                <w:bCs/>
                <w:color w:val="0D0D0D"/>
                <w:sz w:val="16"/>
                <w:szCs w:val="18"/>
                <w:lang w:val="en-US"/>
              </w:rPr>
              <w:t>)</w:t>
            </w:r>
          </w:p>
        </w:tc>
        <w:tc>
          <w:tcPr>
            <w:tcW w:w="3964" w:type="dxa"/>
            <w:tcBorders>
              <w:top w:val="nil"/>
              <w:left w:val="nil"/>
              <w:bottom w:val="single" w:sz="4" w:space="0" w:color="auto"/>
              <w:right w:val="nil"/>
            </w:tcBorders>
            <w:vAlign w:val="center"/>
          </w:tcPr>
          <w:p w14:paraId="4DA745B2" w14:textId="77777777" w:rsidR="00CA7A69" w:rsidRPr="00CA7A69" w:rsidRDefault="00CA7A69" w:rsidP="00CA7A69">
            <w:pPr>
              <w:spacing w:before="100" w:beforeAutospacing="1" w:line="360" w:lineRule="auto"/>
              <w:jc w:val="center"/>
              <w:rPr>
                <w:rFonts w:eastAsia="Calibri"/>
                <w:color w:val="0D0D0D"/>
                <w:lang w:val="en-US"/>
              </w:rPr>
            </w:pPr>
            <m:oMathPara>
              <m:oMath>
                <m:r>
                  <w:rPr>
                    <w:rFonts w:ascii="Cambria Math" w:hAnsi="Cambria Math"/>
                    <w:color w:val="0D0D0D"/>
                  </w:rPr>
                  <m:t>LOLP</m:t>
                </m:r>
                <m:r>
                  <w:rPr>
                    <w:rFonts w:ascii="Cambria Math" w:hAnsi="Cambria Math"/>
                    <w:color w:val="0D0D0D"/>
                    <w:lang w:val="en-US"/>
                  </w:rPr>
                  <m:t>=</m:t>
                </m:r>
                <m:f>
                  <m:fPr>
                    <m:ctrlPr>
                      <w:rPr>
                        <w:rFonts w:ascii="Cambria Math" w:hAnsi="Cambria Math"/>
                        <w:i/>
                        <w:color w:val="0D0D0D"/>
                      </w:rPr>
                    </m:ctrlPr>
                  </m:fPr>
                  <m:num>
                    <m:nary>
                      <m:naryPr>
                        <m:limLoc m:val="subSup"/>
                        <m:ctrlPr>
                          <w:rPr>
                            <w:rFonts w:ascii="Cambria Math" w:hAnsi="Cambria Math"/>
                            <w:i/>
                            <w:color w:val="0D0D0D"/>
                          </w:rPr>
                        </m:ctrlPr>
                      </m:naryPr>
                      <m:sub>
                        <m:r>
                          <w:rPr>
                            <w:rFonts w:ascii="Cambria Math" w:hAnsi="Cambria Math"/>
                            <w:color w:val="0D0D0D"/>
                            <w:lang w:val="en-US"/>
                          </w:rPr>
                          <m:t>0</m:t>
                        </m:r>
                      </m:sub>
                      <m:sup>
                        <m:r>
                          <w:rPr>
                            <w:rFonts w:ascii="Cambria Math" w:hAnsi="Cambria Math" w:cs="Calibri"/>
                            <w:color w:val="0D0D0D"/>
                          </w:rPr>
                          <m:t>T</m:t>
                        </m:r>
                      </m:sup>
                      <m:e>
                        <m:r>
                          <w:rPr>
                            <w:rFonts w:ascii="Cambria Math" w:hAnsi="Cambria Math"/>
                            <w:color w:val="0D0D0D"/>
                          </w:rPr>
                          <m:t>f</m:t>
                        </m:r>
                      </m:e>
                    </m:nary>
                    <m:r>
                      <w:rPr>
                        <w:rFonts w:ascii="Cambria Math" w:hAnsi="Cambria Math"/>
                        <w:color w:val="0D0D0D"/>
                        <w:lang w:val="en-US"/>
                      </w:rPr>
                      <m:t>(</m:t>
                    </m:r>
                    <m:r>
                      <w:rPr>
                        <w:rFonts w:ascii="Cambria Math" w:hAnsi="Cambria Math"/>
                        <w:color w:val="0D0D0D"/>
                      </w:rPr>
                      <m:t>t</m:t>
                    </m:r>
                    <m:r>
                      <w:rPr>
                        <w:rFonts w:ascii="Cambria Math" w:hAnsi="Cambria Math"/>
                        <w:color w:val="0D0D0D"/>
                        <w:lang w:val="en-US"/>
                      </w:rPr>
                      <m:t>)</m:t>
                    </m:r>
                    <m:r>
                      <w:rPr>
                        <w:rFonts w:ascii="Cambria Math" w:hAnsi="Cambria Math"/>
                        <w:color w:val="0D0D0D"/>
                      </w:rPr>
                      <m:t>dt</m:t>
                    </m:r>
                  </m:num>
                  <m:den>
                    <m:r>
                      <w:rPr>
                        <w:rFonts w:ascii="Cambria Math" w:hAnsi="Cambria Math"/>
                        <w:color w:val="0D0D0D"/>
                      </w:rPr>
                      <m:t>T</m:t>
                    </m:r>
                  </m:den>
                </m:f>
              </m:oMath>
            </m:oMathPara>
          </w:p>
        </w:tc>
        <w:tc>
          <w:tcPr>
            <w:tcW w:w="5391" w:type="dxa"/>
            <w:tcBorders>
              <w:top w:val="nil"/>
              <w:left w:val="nil"/>
              <w:bottom w:val="single" w:sz="4" w:space="0" w:color="auto"/>
              <w:right w:val="nil"/>
            </w:tcBorders>
          </w:tcPr>
          <w:p w14:paraId="2529AF8F" w14:textId="77777777" w:rsidR="00CA7A69" w:rsidRPr="00CA7A69" w:rsidRDefault="00CA7A69" w:rsidP="00CA7A69">
            <w:pPr>
              <w:spacing w:before="120"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w:r w:rsidRPr="00CA7A69">
              <w:rPr>
                <w:rFonts w:ascii="Palatino Linotype" w:hAnsi="Palatino Linotype" w:cs="CharisSIL-Italic"/>
                <w:i/>
                <w:iCs/>
                <w:color w:val="0D0D0D"/>
                <w:sz w:val="16"/>
                <w:szCs w:val="18"/>
                <w:lang w:val="en-GB"/>
              </w:rPr>
              <w:t>f(t)</w:t>
            </w:r>
            <w:r w:rsidRPr="00CA7A69">
              <w:rPr>
                <w:rFonts w:ascii="Palatino Linotype" w:hAnsi="Palatino Linotype"/>
                <w:color w:val="0D0D0D"/>
                <w:sz w:val="16"/>
                <w:szCs w:val="18"/>
                <w:lang w:val="en-GB"/>
              </w:rPr>
              <w:t>: Percentage of time the local generation does not cover the load</w:t>
            </w:r>
          </w:p>
        </w:tc>
        <w:tc>
          <w:tcPr>
            <w:tcW w:w="1413" w:type="dxa"/>
            <w:tcBorders>
              <w:top w:val="nil"/>
              <w:left w:val="nil"/>
              <w:bottom w:val="single" w:sz="4" w:space="0" w:color="auto"/>
              <w:right w:val="nil"/>
            </w:tcBorders>
            <w:vAlign w:val="center"/>
          </w:tcPr>
          <w:p w14:paraId="4B40B805" w14:textId="38F98738" w:rsidR="00CA7A69" w:rsidRPr="00CA7A69" w:rsidRDefault="00CA7A69" w:rsidP="00CA7A69">
            <w:pPr>
              <w:spacing w:before="20" w:line="360" w:lineRule="auto"/>
              <w:jc w:val="both"/>
              <w:rPr>
                <w:color w:val="0D0D0D"/>
                <w:sz w:val="14"/>
                <w:szCs w:val="16"/>
                <w:lang w:val="en-GB"/>
              </w:rPr>
            </w:pPr>
            <w:r w:rsidRPr="00CA7A69">
              <w:rPr>
                <w:color w:val="0D0D0D"/>
                <w:sz w:val="14"/>
                <w:szCs w:val="16"/>
                <w:lang w:val="en-US"/>
              </w:rPr>
              <w:fldChar w:fldCharType="begin" w:fldLock="1"/>
            </w:r>
            <w:r w:rsidR="001D3C8C">
              <w:rPr>
                <w:color w:val="0D0D0D"/>
                <w:sz w:val="14"/>
                <w:szCs w:val="16"/>
                <w:lang w:val="en-US"/>
              </w:rPr>
              <w:instrText>ADDIN CSL_CITATION {"citationItems":[{"id":"ITEM-1","itemData":{"abstract":"Although several alternative definitions exist, a Net-Zero Energy Building (Net ZEB) can be succinctly described as a grid-connected building that generates as much energy as it uses over a year. The \"net-zero\" balance is attained by applying energy conservation and efficiency measures and by incorporating renewable energy systems. While based on annual balances, a complete description of a Net ZEB requires examining the system at smaller time-scales. This assessment should address: (a) the relationship between power generation and building loads and (b) the resulting interaction with the power grid. This paper presents and categorizes quantitative indicators suitable to describe both aspects of the building's performance. These indicators, named LMGI - Load Matching and Grid Interaction indicators, are easily quantifiable and could complement the output variables of existing building simulation tools. The indicators and examples presented here deal only with electric generation and loads.","author":[{"dropping-particle":"","family":"Salom","given":"Jaume","non-dropping-particle":"","parse-names":false,"suffix":""},{"dropping-particle":"","family":"Widén","given":"Joakim","non-dropping-particle":"","parse-names":false,"suffix":""},{"dropping-particle":"","family":"Candanedo","given":"José","non-dropping-particle":"","parse-names":false,"suffix":""},{"dropping-particle":"","family":"Sartori","given":"Igor","non-dropping-particle":"","parse-names":false,"suffix":""},{"dropping-particle":"","family":"Voss","given":"Karsten","non-dropping-particle":"","parse-names":false,"suffix":""},{"dropping-particle":"","family":"Marszal","given":"Anna","non-dropping-particle":"","parse-names":false,"suffix":""}],"container-title":"Proceedings of Building Simulation 2011: 12th Conference of International Building Performance Simulation Association","id":"ITEM-1","issued":{"date-parts":[["2011"]]},"page":"2514-2521","title":"Understanding net zero energy buildings: Evaluation of load matching and grid interaction indicators","type":"article-journal","volume":"6"},"uris":["http://www.mendeley.com/documents/?uuid=e2974cfd-e0be-430a-aa6f-705bcd8f5b3d","http://www.mendeley.com/documents/?uuid=08494205-5df3-464f-a59c-cce93470f748","http://www.mendeley.com/documents/?uuid=5d053fb3-fdc8-45db-abeb-bb421230278c"]}],"mendeley":{"formattedCitation":"(Salom et al., 2011)","plainTextFormattedCitation":"(Salom et al., 2011)","previouslyFormattedCitation":"(Salom et al. 2011)"},"properties":{"noteIndex":0},"schema":"https://github.com/citation-style-language/schema/raw/master/csl-citation.json"}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en-US"/>
              </w:rPr>
              <w:t>(Salom et al., 2011)</w:t>
            </w:r>
            <w:r w:rsidRPr="00CA7A69">
              <w:rPr>
                <w:color w:val="0D0D0D"/>
                <w:sz w:val="14"/>
                <w:szCs w:val="16"/>
                <w:lang w:val="en-US"/>
              </w:rPr>
              <w:fldChar w:fldCharType="end"/>
            </w:r>
          </w:p>
        </w:tc>
      </w:tr>
      <w:tr w:rsidR="00CA7A69" w:rsidRPr="00CA7A69" w14:paraId="584B2B24" w14:textId="77777777" w:rsidTr="00B55E3E">
        <w:trPr>
          <w:trHeight w:val="478"/>
          <w:jc w:val="center"/>
        </w:trPr>
        <w:tc>
          <w:tcPr>
            <w:tcW w:w="546" w:type="dxa"/>
            <w:tcBorders>
              <w:top w:val="single" w:sz="4" w:space="0" w:color="auto"/>
              <w:left w:val="nil"/>
              <w:bottom w:val="nil"/>
              <w:right w:val="nil"/>
            </w:tcBorders>
            <w:vAlign w:val="center"/>
          </w:tcPr>
          <w:p w14:paraId="1C5D8A36" w14:textId="77777777" w:rsidR="00CA7A69" w:rsidRPr="00CA7A69" w:rsidRDefault="00CA7A69" w:rsidP="00CA7A69">
            <w:pPr>
              <w:spacing w:before="60" w:line="360" w:lineRule="auto"/>
              <w:jc w:val="both"/>
              <w:rPr>
                <w:rFonts w:ascii="Palatino Linotype" w:hAnsi="Palatino Linotype"/>
                <w:color w:val="0D0D0D"/>
                <w:sz w:val="14"/>
                <w:szCs w:val="16"/>
                <w:lang w:val="en-GB"/>
              </w:rPr>
            </w:pPr>
            <w:r w:rsidRPr="00CA7A69">
              <w:rPr>
                <w:rFonts w:ascii="Palatino Linotype" w:hAnsi="Palatino Linotype"/>
                <w:color w:val="0D0D0D"/>
                <w:sz w:val="14"/>
                <w:szCs w:val="16"/>
                <w:lang w:val="en-GB"/>
              </w:rPr>
              <w:t>2.1</w:t>
            </w:r>
          </w:p>
        </w:tc>
        <w:tc>
          <w:tcPr>
            <w:tcW w:w="3024" w:type="dxa"/>
            <w:tcBorders>
              <w:top w:val="single" w:sz="4" w:space="0" w:color="auto"/>
              <w:left w:val="nil"/>
              <w:bottom w:val="nil"/>
              <w:right w:val="nil"/>
            </w:tcBorders>
            <w:vAlign w:val="center"/>
          </w:tcPr>
          <w:p w14:paraId="4B8BF376" w14:textId="77777777" w:rsidR="00CA7A69" w:rsidRPr="00CA7A69" w:rsidRDefault="00CA7A69" w:rsidP="00CA7A69">
            <w:pPr>
              <w:spacing w:before="60" w:line="360" w:lineRule="auto"/>
              <w:jc w:val="center"/>
              <w:rPr>
                <w:rFonts w:ascii="Palatino Linotype" w:hAnsi="Palatino Linotype"/>
                <w:bCs/>
                <w:color w:val="0D0D0D"/>
                <w:sz w:val="16"/>
                <w:szCs w:val="18"/>
                <w:lang w:val="en-US"/>
              </w:rPr>
            </w:pPr>
            <w:r w:rsidRPr="00CA7A69">
              <w:rPr>
                <w:rFonts w:ascii="Palatino Linotype" w:hAnsi="Palatino Linotype"/>
                <w:color w:val="FF0000"/>
                <w:sz w:val="16"/>
                <w:szCs w:val="18"/>
                <w:lang w:val="en-GB"/>
              </w:rPr>
              <w:t xml:space="preserve">Flexibility Factor  </w:t>
            </w:r>
            <m:oMath>
              <m:r>
                <w:rPr>
                  <w:rFonts w:ascii="Cambria Math" w:hAnsi="Cambria Math"/>
                  <w:color w:val="FF0000"/>
                  <w:sz w:val="16"/>
                  <w:szCs w:val="18"/>
                  <w:lang w:val="en-GB"/>
                </w:rPr>
                <m:t>(</m:t>
              </m:r>
              <m:r>
                <w:rPr>
                  <w:rFonts w:ascii="Cambria Math" w:hAnsi="Cambria Math"/>
                  <w:color w:val="FF0000"/>
                  <w:sz w:val="16"/>
                  <w:szCs w:val="18"/>
                </w:rPr>
                <m:t>FF</m:t>
              </m:r>
              <m:r>
                <w:rPr>
                  <w:rFonts w:ascii="Cambria Math" w:hAnsi="Cambria Math"/>
                  <w:color w:val="FF0000"/>
                  <w:sz w:val="16"/>
                  <w:szCs w:val="18"/>
                  <w:lang w:val="en-GB"/>
                </w:rPr>
                <m:t>)</m:t>
              </m:r>
            </m:oMath>
            <w:r w:rsidRPr="00CA7A69">
              <w:rPr>
                <w:rFonts w:ascii="Palatino Linotype" w:hAnsi="Palatino Linotype"/>
                <w:color w:val="FF0000"/>
                <w:sz w:val="16"/>
                <w:szCs w:val="18"/>
                <w:lang w:val="en-GB"/>
              </w:rPr>
              <w:t>-Costs</w:t>
            </w:r>
          </w:p>
        </w:tc>
        <w:tc>
          <w:tcPr>
            <w:tcW w:w="3964" w:type="dxa"/>
            <w:tcBorders>
              <w:top w:val="single" w:sz="4" w:space="0" w:color="auto"/>
              <w:left w:val="nil"/>
              <w:bottom w:val="nil"/>
              <w:right w:val="nil"/>
            </w:tcBorders>
            <w:vAlign w:val="center"/>
          </w:tcPr>
          <w:p w14:paraId="5307D866" w14:textId="77777777" w:rsidR="00CA7A69" w:rsidRPr="00CA7A69" w:rsidRDefault="00CA7A69" w:rsidP="00CA7A69">
            <w:pPr>
              <w:spacing w:line="360" w:lineRule="auto"/>
              <w:jc w:val="center"/>
              <w:rPr>
                <w:rFonts w:eastAsia="Calibri"/>
                <w:color w:val="0D0D0D"/>
                <w:lang w:val="en-US"/>
              </w:rPr>
            </w:pPr>
            <m:oMathPara>
              <m:oMath>
                <m:r>
                  <w:rPr>
                    <w:rFonts w:ascii="Cambria Math" w:hAnsi="Cambria Math"/>
                    <w:color w:val="0D0D0D"/>
                  </w:rPr>
                  <m:t>FF</m:t>
                </m:r>
                <m:r>
                  <w:rPr>
                    <w:rFonts w:ascii="Cambria Math" w:hAnsi="Cambria Math"/>
                    <w:color w:val="0D0D0D"/>
                    <w:lang w:val="en-US"/>
                  </w:rPr>
                  <m:t>=</m:t>
                </m:r>
                <m:f>
                  <m:fPr>
                    <m:ctrlPr>
                      <w:rPr>
                        <w:rFonts w:ascii="Cambria Math" w:hAnsi="Cambria Math"/>
                        <w:i/>
                        <w:color w:val="0D0D0D"/>
                      </w:rPr>
                    </m:ctrlPr>
                  </m:fPr>
                  <m:num>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rPr>
                          <m:t>lp</m:t>
                        </m:r>
                      </m:sub>
                    </m:sSub>
                    <m:r>
                      <w:rPr>
                        <w:rFonts w:ascii="Cambria Math" w:hAnsi="Cambria Math"/>
                        <w:color w:val="0D0D0D"/>
                        <w:lang w:val="en-US"/>
                      </w:rPr>
                      <m:t>-</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lang w:val="en-US"/>
                          </w:rPr>
                          <m:t>h</m:t>
                        </m:r>
                        <m:r>
                          <w:rPr>
                            <w:rFonts w:ascii="Cambria Math" w:hAnsi="Cambria Math"/>
                            <w:color w:val="0D0D0D"/>
                          </w:rPr>
                          <m:t>p</m:t>
                        </m:r>
                      </m:sub>
                    </m:sSub>
                  </m:num>
                  <m:den>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rPr>
                          <m:t>lp</m:t>
                        </m:r>
                      </m:sub>
                    </m:sSub>
                    <m:r>
                      <w:rPr>
                        <w:rFonts w:ascii="Cambria Math" w:hAnsi="Cambria Math"/>
                        <w:color w:val="0D0D0D"/>
                        <w:lang w:val="en-US"/>
                      </w:rPr>
                      <m:t>+</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lang w:val="en-US"/>
                          </w:rPr>
                          <m:t>h</m:t>
                        </m:r>
                        <m:r>
                          <w:rPr>
                            <w:rFonts w:ascii="Cambria Math" w:hAnsi="Cambria Math"/>
                            <w:color w:val="0D0D0D"/>
                          </w:rPr>
                          <m:t>p</m:t>
                        </m:r>
                      </m:sub>
                    </m:sSub>
                  </m:den>
                </m:f>
              </m:oMath>
            </m:oMathPara>
          </w:p>
        </w:tc>
        <w:tc>
          <w:tcPr>
            <w:tcW w:w="5391" w:type="dxa"/>
            <w:tcBorders>
              <w:top w:val="single" w:sz="4" w:space="0" w:color="auto"/>
              <w:left w:val="nil"/>
              <w:bottom w:val="nil"/>
              <w:right w:val="nil"/>
            </w:tcBorders>
          </w:tcPr>
          <w:p w14:paraId="6F05956C"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L: energy consumption</w:t>
            </w:r>
          </w:p>
          <w:p w14:paraId="44423E4E" w14:textId="77777777" w:rsidR="00CA7A69" w:rsidRPr="00CA7A69" w:rsidRDefault="00CA7A69" w:rsidP="00CA7A69">
            <w:pPr>
              <w:spacing w:line="360" w:lineRule="auto"/>
              <w:jc w:val="both"/>
              <w:rPr>
                <w:rFonts w:ascii="Palatino Linotype" w:hAnsi="Palatino Linotype"/>
                <w:color w:val="0D0D0D"/>
                <w:sz w:val="16"/>
                <w:szCs w:val="18"/>
                <w:lang w:val="en-GB"/>
              </w:rPr>
            </w:pPr>
          </w:p>
        </w:tc>
        <w:tc>
          <w:tcPr>
            <w:tcW w:w="1413" w:type="dxa"/>
            <w:tcBorders>
              <w:top w:val="single" w:sz="4" w:space="0" w:color="auto"/>
              <w:left w:val="nil"/>
              <w:bottom w:val="nil"/>
              <w:right w:val="nil"/>
            </w:tcBorders>
            <w:vAlign w:val="center"/>
          </w:tcPr>
          <w:p w14:paraId="3C5D09BB" w14:textId="482E3EB8" w:rsidR="00CA7A69" w:rsidRPr="00CA7A69" w:rsidRDefault="00CA7A69" w:rsidP="00CA7A69">
            <w:pPr>
              <w:spacing w:before="20" w:line="360" w:lineRule="auto"/>
              <w:jc w:val="both"/>
              <w:rPr>
                <w:color w:val="0D0D0D"/>
                <w:sz w:val="14"/>
                <w:szCs w:val="16"/>
                <w:lang w:val="en-US"/>
              </w:rPr>
            </w:pPr>
            <w:r w:rsidRPr="00CA7A69">
              <w:rPr>
                <w:color w:val="0D0D0D"/>
                <w:sz w:val="14"/>
                <w:szCs w:val="16"/>
              </w:rPr>
              <w:fldChar w:fldCharType="begin" w:fldLock="1"/>
            </w:r>
            <w:r w:rsidR="001D3C8C">
              <w:rPr>
                <w:color w:val="0D0D0D"/>
                <w:sz w:val="14"/>
                <w:szCs w:val="16"/>
                <w:lang w:val="en-GB"/>
              </w:rPr>
              <w:instrText>ADDIN CSL_CITATION {"citationItems":[{"id":"ITEM-1","itemData":{"DOI":"10.1016/j.energy.2016.05.076","ISSN":"03605442","abstract":"The objective of this study is to assess the potential of buildings to modulate the heating power and define simple control strategies to exploit the flexibility potential considering both energy and thermal comfort. Two residential buildings with different levels of insulation and air-tightness have been modelled. This wide range of thermal properties covers the global performance of the residential building stock, and does not only focus on state-of-the-art buildings. Two strategies of modulation have been investigated: heat storage (i.e. increase of set-point) and heat conservation (i.e. decrease of set-point). Additionally, the effect of the time of activation and the type of emitter (radiator or underfloor heating) has been evaluated.A better understanding of the dynamic behaviour of buildings has been achieved in this paper. Contrary to other storage solutions (e.g. battery, hot water tank), the modulation potential of the thermal mass depends on several factors (level of insulation, type of emitter, etc) and varies over time (cold vs. transition season). The autonomy of a poorly-insulated building is relatively short, whereas passive houses have a long time constant. This characteristic implies differences in the control strategy to make use of the flexibility potential without violating comfort.","author":[{"dropping-particle":"","family":"Dréau","given":"J.","non-dropping-particle":"Le","parse-names":false,"suffix":""},{"dropping-particle":"","family":"Heiselberg","given":"P.","non-dropping-particle":"","parse-names":false,"suffix":""}],"container-title":"Energy","id":"ITEM-1","issued":{"date-parts":[["2016"]]},"page":"991-1002","title":"Energy flexibility of residential buildings using short term heat storage in the thermal mass","type":"article-journal","volume":"111"},"uris":["http://www.mendeley.com/documents/?uuid=f8e5a8e8-3eb5-43a6-8402-df5c2555737a","http://www.mendeley.com/documents/?uuid=11b0afac-d60c-4e9a-bb9b-2d2c89a4cad8","http://www.mendeley.com/documents/?uuid=1a43d0db-7d0d-4cb0-a0e2-5f411712833e"]}],"mendeley":{"formattedCitation":"(Le Dréau &amp; Heiselberg, 2016)","plainTextFormattedCitation":"(Le Dréau &amp; Heiselberg, 2016)","previouslyFormattedCitation":"(Le Dréau and Heiselberg 2016)"},"properties":{"noteIndex":0},"schema":"https://github.com/citation-style-language/schema/raw/master/csl-citation.json"}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(Le Dréau &amp; Heiselberg, 2016)</w:t>
            </w:r>
            <w:r w:rsidRPr="00CA7A69">
              <w:rPr>
                <w:color w:val="0D0D0D"/>
                <w:sz w:val="14"/>
                <w:szCs w:val="16"/>
              </w:rPr>
              <w:fldChar w:fldCharType="end"/>
            </w:r>
          </w:p>
        </w:tc>
      </w:tr>
      <w:tr w:rsidR="00CA7A69" w:rsidRPr="00CA7A69" w14:paraId="546C8380" w14:textId="77777777" w:rsidTr="00F40193">
        <w:trPr>
          <w:trHeight w:val="478"/>
          <w:jc w:val="center"/>
        </w:trPr>
        <w:tc>
          <w:tcPr>
            <w:tcW w:w="546" w:type="dxa"/>
            <w:tcBorders>
              <w:top w:val="nil"/>
              <w:left w:val="nil"/>
              <w:bottom w:val="single" w:sz="4" w:space="0" w:color="auto"/>
              <w:right w:val="nil"/>
            </w:tcBorders>
            <w:vAlign w:val="center"/>
          </w:tcPr>
          <w:p w14:paraId="0FA1BDC5" w14:textId="77777777" w:rsidR="00CA7A69" w:rsidRPr="00CA7A69" w:rsidRDefault="00CA7A69" w:rsidP="00CA7A69">
            <w:pPr>
              <w:spacing w:before="80" w:line="360" w:lineRule="auto"/>
              <w:jc w:val="both"/>
              <w:rPr>
                <w:rFonts w:ascii="Palatino Linotype" w:hAnsi="Palatino Linotype"/>
                <w:color w:val="0D0D0D"/>
                <w:sz w:val="14"/>
                <w:szCs w:val="16"/>
                <w:lang w:val="en-US"/>
              </w:rPr>
            </w:pPr>
            <w:r w:rsidRPr="00CA7A69">
              <w:rPr>
                <w:rFonts w:ascii="Palatino Linotype" w:hAnsi="Palatino Linotype"/>
                <w:color w:val="0D0D0D"/>
                <w:sz w:val="14"/>
                <w:szCs w:val="16"/>
                <w:lang w:val="en-US"/>
              </w:rPr>
              <w:lastRenderedPageBreak/>
              <w:t>2.2</w:t>
            </w:r>
          </w:p>
        </w:tc>
        <w:tc>
          <w:tcPr>
            <w:tcW w:w="3024" w:type="dxa"/>
            <w:tcBorders>
              <w:top w:val="nil"/>
              <w:left w:val="nil"/>
              <w:bottom w:val="single" w:sz="4" w:space="0" w:color="auto"/>
              <w:right w:val="nil"/>
            </w:tcBorders>
            <w:vAlign w:val="center"/>
          </w:tcPr>
          <w:p w14:paraId="4AF9DF92" w14:textId="77777777" w:rsidR="00CA7A69" w:rsidRPr="00CA7A69" w:rsidRDefault="00CA7A69" w:rsidP="00CA7A69">
            <w:pPr>
              <w:spacing w:before="80" w:line="360" w:lineRule="auto"/>
              <w:jc w:val="center"/>
              <w:rPr>
                <w:rFonts w:ascii="Palatino Linotype" w:hAnsi="Palatino Linotype"/>
                <w:bCs/>
                <w:color w:val="0D0D0D"/>
                <w:sz w:val="16"/>
                <w:szCs w:val="18"/>
                <w:lang w:val="en-US"/>
              </w:rPr>
            </w:pPr>
            <w:r w:rsidRPr="00CA7A69">
              <w:rPr>
                <w:rFonts w:ascii="Palatino Linotype" w:hAnsi="Palatino Linotype"/>
                <w:color w:val="FF0000"/>
                <w:sz w:val="16"/>
                <w:szCs w:val="18"/>
                <w:lang w:val="en-US"/>
              </w:rPr>
              <w:t>Flexibility Factor (</w:t>
            </w:r>
            <m:oMath>
              <m:r>
                <w:rPr>
                  <w:rFonts w:ascii="Cambria Math" w:hAnsi="Cambria Math"/>
                  <w:color w:val="FF0000"/>
                  <w:sz w:val="16"/>
                  <w:szCs w:val="18"/>
                </w:rPr>
                <m:t>FF</m:t>
              </m:r>
            </m:oMath>
            <w:r w:rsidRPr="00CA7A69">
              <w:rPr>
                <w:rFonts w:ascii="Palatino Linotype" w:hAnsi="Palatino Linotype"/>
                <w:color w:val="FF0000"/>
                <w:sz w:val="16"/>
                <w:szCs w:val="18"/>
                <w:lang w:val="en-US"/>
              </w:rPr>
              <w:t>)-Emissions</w:t>
            </w:r>
          </w:p>
        </w:tc>
        <w:tc>
          <w:tcPr>
            <w:tcW w:w="3964" w:type="dxa"/>
            <w:tcBorders>
              <w:top w:val="nil"/>
              <w:left w:val="nil"/>
              <w:bottom w:val="single" w:sz="4" w:space="0" w:color="auto"/>
              <w:right w:val="nil"/>
            </w:tcBorders>
            <w:vAlign w:val="center"/>
          </w:tcPr>
          <w:p w14:paraId="6F02B5EF" w14:textId="77777777" w:rsidR="00CA7A69" w:rsidRPr="00CA7A69" w:rsidRDefault="005B195F" w:rsidP="00CA7A69">
            <w:pPr>
              <w:spacing w:line="360" w:lineRule="auto"/>
              <w:jc w:val="center"/>
              <w:rPr>
                <w:rFonts w:eastAsia="Calibri"/>
                <w:color w:val="0D0D0D"/>
                <w:lang w:val="en-US"/>
              </w:rPr>
            </w:pPr>
            <m:oMathPara>
              <m:oMath>
                <m:sSub>
                  <m:sSubPr>
                    <m:ctrlPr>
                      <w:rPr>
                        <w:rFonts w:ascii="Cambria Math" w:hAnsi="Cambria Math"/>
                        <w:i/>
                        <w:color w:val="0D0D0D"/>
                      </w:rPr>
                    </m:ctrlPr>
                  </m:sSubPr>
                  <m:e>
                    <m:r>
                      <w:rPr>
                        <w:rFonts w:ascii="Cambria Math" w:hAnsi="Cambria Math"/>
                        <w:color w:val="0D0D0D"/>
                      </w:rPr>
                      <m:t>FF</m:t>
                    </m:r>
                  </m:e>
                  <m:sub>
                    <m:r>
                      <w:rPr>
                        <w:rFonts w:ascii="Cambria Math" w:hAnsi="Cambria Math"/>
                        <w:color w:val="0D0D0D"/>
                      </w:rPr>
                      <m:t>P</m:t>
                    </m:r>
                  </m:sub>
                </m:sSub>
                <m:r>
                  <w:rPr>
                    <w:rFonts w:ascii="Cambria Math" w:hAnsi="Cambria Math"/>
                    <w:color w:val="0D0D0D"/>
                    <w:lang w:val="en-US"/>
                  </w:rPr>
                  <m:t>=</m:t>
                </m:r>
                <m:f>
                  <m:fPr>
                    <m:ctrlPr>
                      <w:rPr>
                        <w:rFonts w:ascii="Cambria Math" w:hAnsi="Cambria Math"/>
                        <w:i/>
                        <w:color w:val="0D0D0D"/>
                      </w:rPr>
                    </m:ctrlPr>
                  </m:fPr>
                  <m:num>
                    <m:nary>
                      <m:naryPr>
                        <m:limLoc m:val="subSup"/>
                        <m:supHide m:val="1"/>
                        <m:ctrlPr>
                          <w:rPr>
                            <w:rFonts w:ascii="Cambria Math" w:hAnsi="Cambria Math"/>
                            <w:i/>
                            <w:color w:val="0D0D0D"/>
                          </w:rPr>
                        </m:ctrlPr>
                      </m:naryPr>
                      <m:sub>
                        <m:r>
                          <w:rPr>
                            <w:rFonts w:ascii="Cambria Math" w:hAnsi="Cambria Math"/>
                            <w:color w:val="0D0D0D"/>
                          </w:rPr>
                          <m:t>lp</m:t>
                        </m:r>
                      </m:sub>
                      <m:sup/>
                      <m:e>
                        <m:sSub>
                          <m:sSubPr>
                            <m:ctrlPr>
                              <w:rPr>
                                <w:rFonts w:ascii="Cambria Math" w:hAnsi="Cambria Math"/>
                                <w:i/>
                                <w:color w:val="0D0D0D"/>
                              </w:rPr>
                            </m:ctrlPr>
                          </m:sSubPr>
                          <m:e>
                            <m:r>
                              <w:rPr>
                                <w:rFonts w:ascii="Cambria Math" w:hAnsi="Cambria Math"/>
                                <w:color w:val="0D0D0D"/>
                              </w:rPr>
                              <m:t>P</m:t>
                            </m:r>
                          </m:e>
                          <m:sub>
                            <m:r>
                              <w:rPr>
                                <w:rFonts w:ascii="Cambria Math" w:hAnsi="Cambria Math"/>
                                <w:color w:val="0D0D0D"/>
                              </w:rPr>
                              <m:t>el</m:t>
                            </m:r>
                          </m:sub>
                        </m:sSub>
                        <m:box>
                          <m:boxPr>
                            <m:diff m:val="1"/>
                            <m:ctrlPr>
                              <w:rPr>
                                <w:rFonts w:ascii="Cambria Math" w:hAnsi="Cambria Math"/>
                                <w:i/>
                                <w:color w:val="0D0D0D"/>
                              </w:rPr>
                            </m:ctrlPr>
                          </m:boxPr>
                          <m:e>
                            <m:r>
                              <w:rPr>
                                <w:rFonts w:ascii="Cambria Math" w:hAnsi="Cambria Math"/>
                                <w:color w:val="0D0D0D"/>
                              </w:rPr>
                              <m:t>dt</m:t>
                            </m:r>
                            <m:r>
                              <w:rPr>
                                <w:rFonts w:ascii="Cambria Math" w:hAnsi="Cambria Math"/>
                                <w:color w:val="0D0D0D"/>
                                <w:lang w:val="en-US"/>
                              </w:rPr>
                              <m:t>-</m:t>
                            </m:r>
                            <m:nary>
                              <m:naryPr>
                                <m:limLoc m:val="subSup"/>
                                <m:supHide m:val="1"/>
                                <m:ctrlPr>
                                  <w:rPr>
                                    <w:rFonts w:ascii="Cambria Math" w:hAnsi="Cambria Math"/>
                                    <w:i/>
                                    <w:color w:val="0D0D0D"/>
                                  </w:rPr>
                                </m:ctrlPr>
                              </m:naryPr>
                              <m:sub>
                                <m:r>
                                  <w:rPr>
                                    <w:rFonts w:ascii="Cambria Math" w:hAnsi="Cambria Math"/>
                                    <w:color w:val="0D0D0D"/>
                                    <w:lang w:val="en-US"/>
                                  </w:rPr>
                                  <m:t>h</m:t>
                                </m:r>
                                <m:r>
                                  <w:rPr>
                                    <w:rFonts w:ascii="Cambria Math" w:hAnsi="Cambria Math"/>
                                    <w:color w:val="0D0D0D"/>
                                  </w:rPr>
                                  <m:t>p</m:t>
                                </m:r>
                              </m:sub>
                              <m:sup/>
                              <m:e>
                                <m:sSub>
                                  <m:sSubPr>
                                    <m:ctrlPr>
                                      <w:rPr>
                                        <w:rFonts w:ascii="Cambria Math" w:hAnsi="Cambria Math"/>
                                        <w:i/>
                                        <w:color w:val="0D0D0D"/>
                                      </w:rPr>
                                    </m:ctrlPr>
                                  </m:sSubPr>
                                  <m:e>
                                    <m:r>
                                      <w:rPr>
                                        <w:rFonts w:ascii="Cambria Math" w:hAnsi="Cambria Math"/>
                                        <w:color w:val="0D0D0D"/>
                                      </w:rPr>
                                      <m:t>P</m:t>
                                    </m:r>
                                  </m:e>
                                  <m:sub>
                                    <m:r>
                                      <w:rPr>
                                        <w:rFonts w:ascii="Cambria Math" w:hAnsi="Cambria Math"/>
                                        <w:color w:val="0D0D0D"/>
                                      </w:rPr>
                                      <m:t>el</m:t>
                                    </m:r>
                                  </m:sub>
                                </m:sSub>
                                <m:r>
                                  <w:rPr>
                                    <w:rFonts w:ascii="Cambria Math" w:hAnsi="Cambria Math"/>
                                    <w:color w:val="0D0D0D"/>
                                  </w:rPr>
                                  <m:t>dt</m:t>
                                </m:r>
                              </m:e>
                            </m:nary>
                          </m:e>
                        </m:box>
                      </m:e>
                    </m:nary>
                  </m:num>
                  <m:den>
                    <m:nary>
                      <m:naryPr>
                        <m:limLoc m:val="subSup"/>
                        <m:supHide m:val="1"/>
                        <m:ctrlPr>
                          <w:rPr>
                            <w:rFonts w:ascii="Cambria Math" w:hAnsi="Cambria Math"/>
                            <w:i/>
                            <w:color w:val="0D0D0D"/>
                          </w:rPr>
                        </m:ctrlPr>
                      </m:naryPr>
                      <m:sub>
                        <m:r>
                          <w:rPr>
                            <w:rFonts w:ascii="Cambria Math" w:hAnsi="Cambria Math"/>
                            <w:color w:val="0D0D0D"/>
                          </w:rPr>
                          <m:t>lp</m:t>
                        </m:r>
                      </m:sub>
                      <m:sup/>
                      <m:e>
                        <m:sSub>
                          <m:sSubPr>
                            <m:ctrlPr>
                              <w:rPr>
                                <w:rFonts w:ascii="Cambria Math" w:hAnsi="Cambria Math"/>
                                <w:i/>
                                <w:color w:val="0D0D0D"/>
                              </w:rPr>
                            </m:ctrlPr>
                          </m:sSubPr>
                          <m:e>
                            <m:r>
                              <w:rPr>
                                <w:rFonts w:ascii="Cambria Math" w:hAnsi="Cambria Math"/>
                                <w:color w:val="0D0D0D"/>
                              </w:rPr>
                              <m:t>P</m:t>
                            </m:r>
                          </m:e>
                          <m:sub>
                            <m:r>
                              <w:rPr>
                                <w:rFonts w:ascii="Cambria Math" w:hAnsi="Cambria Math"/>
                                <w:color w:val="0D0D0D"/>
                              </w:rPr>
                              <m:t>el</m:t>
                            </m:r>
                          </m:sub>
                        </m:sSub>
                        <m:box>
                          <m:boxPr>
                            <m:diff m:val="1"/>
                            <m:ctrlPr>
                              <w:rPr>
                                <w:rFonts w:ascii="Cambria Math" w:hAnsi="Cambria Math"/>
                                <w:i/>
                                <w:color w:val="0D0D0D"/>
                              </w:rPr>
                            </m:ctrlPr>
                          </m:boxPr>
                          <m:e>
                            <m:r>
                              <w:rPr>
                                <w:rFonts w:ascii="Cambria Math" w:hAnsi="Cambria Math"/>
                                <w:color w:val="0D0D0D"/>
                              </w:rPr>
                              <m:t>dt</m:t>
                            </m:r>
                            <m:r>
                              <w:rPr>
                                <w:rFonts w:ascii="Cambria Math" w:hAnsi="Cambria Math"/>
                                <w:color w:val="0D0D0D"/>
                                <w:lang w:val="en-US"/>
                              </w:rPr>
                              <m:t>+</m:t>
                            </m:r>
                            <m:nary>
                              <m:naryPr>
                                <m:limLoc m:val="subSup"/>
                                <m:supHide m:val="1"/>
                                <m:ctrlPr>
                                  <w:rPr>
                                    <w:rFonts w:ascii="Cambria Math" w:hAnsi="Cambria Math"/>
                                    <w:i/>
                                    <w:color w:val="0D0D0D"/>
                                  </w:rPr>
                                </m:ctrlPr>
                              </m:naryPr>
                              <m:sub>
                                <m:r>
                                  <w:rPr>
                                    <w:rFonts w:ascii="Cambria Math" w:hAnsi="Cambria Math"/>
                                    <w:color w:val="0D0D0D"/>
                                    <w:lang w:val="en-US"/>
                                  </w:rPr>
                                  <m:t>h</m:t>
                                </m:r>
                                <m:r>
                                  <w:rPr>
                                    <w:rFonts w:ascii="Cambria Math" w:hAnsi="Cambria Math"/>
                                    <w:color w:val="0D0D0D"/>
                                  </w:rPr>
                                  <m:t>p</m:t>
                                </m:r>
                              </m:sub>
                              <m:sup/>
                              <m:e>
                                <m:sSub>
                                  <m:sSubPr>
                                    <m:ctrlPr>
                                      <w:rPr>
                                        <w:rFonts w:ascii="Cambria Math" w:hAnsi="Cambria Math"/>
                                        <w:i/>
                                        <w:color w:val="0D0D0D"/>
                                      </w:rPr>
                                    </m:ctrlPr>
                                  </m:sSubPr>
                                  <m:e>
                                    <m:r>
                                      <w:rPr>
                                        <w:rFonts w:ascii="Cambria Math" w:hAnsi="Cambria Math"/>
                                        <w:color w:val="0D0D0D"/>
                                      </w:rPr>
                                      <m:t>P</m:t>
                                    </m:r>
                                  </m:e>
                                  <m:sub>
                                    <m:r>
                                      <w:rPr>
                                        <w:rFonts w:ascii="Cambria Math" w:hAnsi="Cambria Math"/>
                                        <w:color w:val="0D0D0D"/>
                                      </w:rPr>
                                      <m:t>el</m:t>
                                    </m:r>
                                  </m:sub>
                                </m:sSub>
                                <m:r>
                                  <w:rPr>
                                    <w:rFonts w:ascii="Cambria Math" w:hAnsi="Cambria Math"/>
                                    <w:color w:val="0D0D0D"/>
                                  </w:rPr>
                                  <m:t>dt</m:t>
                                </m:r>
                              </m:e>
                            </m:nary>
                          </m:e>
                        </m:box>
                      </m:e>
                    </m:nary>
                  </m:den>
                </m:f>
              </m:oMath>
            </m:oMathPara>
          </w:p>
        </w:tc>
        <w:tc>
          <w:tcPr>
            <w:tcW w:w="5391" w:type="dxa"/>
            <w:tcBorders>
              <w:top w:val="nil"/>
              <w:left w:val="nil"/>
              <w:bottom w:val="single" w:sz="4" w:space="0" w:color="auto"/>
              <w:right w:val="nil"/>
            </w:tcBorders>
          </w:tcPr>
          <w:p w14:paraId="560A801E"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m:t>
                  </m:r>
                </m:e>
                <m:sub>
                  <m:r>
                    <w:rPr>
                      <w:rFonts w:ascii="Cambria Math" w:hAnsi="Cambria Math"/>
                      <w:color w:val="0D0D0D"/>
                      <w:sz w:val="16"/>
                      <w:szCs w:val="18"/>
                    </w:rPr>
                    <m:t>el</m:t>
                  </m:r>
                </m:sub>
              </m:sSub>
              <m:r>
                <w:rPr>
                  <w:rFonts w:ascii="Cambria Math" w:hAnsi="Cambria Math"/>
                  <w:color w:val="0D0D0D"/>
                  <w:sz w:val="16"/>
                  <w:szCs w:val="18"/>
                </w:rPr>
                <m:t xml:space="preserve">: </m:t>
              </m:r>
            </m:oMath>
            <w:r w:rsidRPr="00CA7A69">
              <w:rPr>
                <w:rFonts w:ascii="Palatino Linotype" w:hAnsi="Palatino Linotype"/>
                <w:color w:val="0D0D0D"/>
                <w:sz w:val="16"/>
                <w:szCs w:val="18"/>
                <w:lang w:val="en-GB"/>
              </w:rPr>
              <w:t>Electric power</w:t>
            </w:r>
          </w:p>
        </w:tc>
        <w:tc>
          <w:tcPr>
            <w:tcW w:w="1413" w:type="dxa"/>
            <w:tcBorders>
              <w:top w:val="nil"/>
              <w:left w:val="nil"/>
              <w:bottom w:val="single" w:sz="4" w:space="0" w:color="auto"/>
              <w:right w:val="nil"/>
            </w:tcBorders>
            <w:vAlign w:val="center"/>
          </w:tcPr>
          <w:p w14:paraId="6BE1E71F" w14:textId="37BA7446" w:rsidR="00CA7A69" w:rsidRPr="00CA7A69" w:rsidRDefault="00CA7A69" w:rsidP="00CA7A69">
            <w:pPr>
              <w:spacing w:before="20" w:line="360" w:lineRule="auto"/>
              <w:jc w:val="both"/>
              <w:rPr>
                <w:color w:val="0D0D0D"/>
                <w:sz w:val="14"/>
                <w:szCs w:val="16"/>
                <w:lang w:val="en-US"/>
              </w:rPr>
            </w:pPr>
            <w:r w:rsidRPr="00CA7A69">
              <w:rPr>
                <w:color w:val="0D0D0D"/>
                <w:sz w:val="14"/>
                <w:szCs w:val="16"/>
              </w:rPr>
              <w:fldChar w:fldCharType="begin" w:fldLock="1"/>
            </w:r>
            <w:r w:rsidR="001D3C8C">
              <w:rPr>
                <w:color w:val="0D0D0D"/>
                <w:sz w:val="14"/>
                <w:szCs w:val="16"/>
                <w:lang w:val="en-US"/>
              </w:rPr>
              <w:instrText>ADDIN CSL_CITATION {"citationItems":[{"id":"ITEM-1","itemData":{"DOI":"10.1016/J.SCS.2019.101579","abstract":"Model predictive controllers (MPC) have shown great potential for activating the energy flexibility of thermal loads, especially in buildings equipped with heat pump systems. In this work, an MPC controller is developed and tested within a co-simulation framework which couples an optimization software with a dynamic building simulation tool. The development phase is described in detail, in particular the methods to obtain simplified models to be used by the controller. The building envelope and the heat pump performance (based on experimental data) were thus modelled, both in heating and cooling seasons. Three different objective functions of the MPC are tested on a study case consisting of a Spanish residential building: promising results are obtained when the controller aims at minimizing operational costs (savings of 13–29%) or CO2 marginal emissions (savings of 19–29%). The development efforts, the required tuning and sensitivity of the MPC algorithm parameters, the adaptations needed between the cooling and heating operations are also discussed and put into perspective with the obtained benefits in terms of savings, comfort and load-shifting.","author":[{"dropping-particle":"","family":"Péan","given":"Thibault","non-dropping-particle":"","parse-names":false,"suffix":""},{"dropping-particle":"","family":"Costa-Castelló","given":"Ramon","non-dropping-particle":"","parse-names":false,"suffix":""},{"dropping-particle":"","family":"Salom","given":"Jaume","non-dropping-particle":"","parse-names":false,"suffix":""}],"container-title":"Sustainable Cities and Society","id":"ITEM-1","issued":{"date-parts":[["2019","10"]]},"page":"101579","publisher":"Elsevier","title":"Price and carbon-based energy flexibility of residential heating and cooling loads using model predictive control","type":"article-journal","volume":"50"},"uris":["http://www.mendeley.com/documents/?uuid=d75df4eb-3153-40bc-8ff0-fa68a9694ce2","http://www.mendeley.com/documents/?uuid=b9a24e79-ef06-32d3-82a0-2bfcf6984513","http://www.mendeley.com/documents/?uuid=1c9c5497-5ce9-4421-9c01-dabea44ef544","http://www.mendeley.com/documents/?uuid=0973882a-56f3-4ffd-b583-642f5e208e84"]}],"mendeley":{"formattedCitation":"(Péan et al., 2019)","plainTextFormattedCitation":"(Péan et al., 2019)","previouslyFormattedCitation":"(Péan et al. 2019)"},"properties":{"noteIndex":0},"schema":"https://github.com/citation-style-language/schema/raw/master/csl-citation.json"}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US"/>
              </w:rPr>
              <w:t>(Péan et al., 2019)</w:t>
            </w:r>
            <w:r w:rsidRPr="00CA7A69">
              <w:rPr>
                <w:color w:val="0D0D0D"/>
                <w:sz w:val="14"/>
                <w:szCs w:val="16"/>
              </w:rPr>
              <w:fldChar w:fldCharType="end"/>
            </w:r>
          </w:p>
        </w:tc>
      </w:tr>
      <w:tr w:rsidR="00CA7A69" w:rsidRPr="00CA7A69" w14:paraId="1F82C737" w14:textId="77777777" w:rsidTr="00F40193">
        <w:trPr>
          <w:trHeight w:val="478"/>
          <w:jc w:val="center"/>
        </w:trPr>
        <w:tc>
          <w:tcPr>
            <w:tcW w:w="546" w:type="dxa"/>
            <w:tcBorders>
              <w:top w:val="single" w:sz="4" w:space="0" w:color="auto"/>
              <w:left w:val="nil"/>
              <w:bottom w:val="nil"/>
              <w:right w:val="nil"/>
            </w:tcBorders>
            <w:vAlign w:val="center"/>
          </w:tcPr>
          <w:p w14:paraId="2804A012" w14:textId="69EE5663" w:rsidR="00CA7A69" w:rsidRPr="00CA7A69" w:rsidRDefault="00963DC1"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4</w:t>
            </w:r>
            <w:r w:rsidR="00CA7A69" w:rsidRPr="00CA7A69">
              <w:rPr>
                <w:rFonts w:ascii="Palatino Linotype" w:hAnsi="Palatino Linotype"/>
                <w:color w:val="0D0D0D"/>
                <w:sz w:val="14"/>
                <w:szCs w:val="16"/>
                <w:lang w:val="en-GB"/>
              </w:rPr>
              <w:t>.1</w:t>
            </w:r>
          </w:p>
        </w:tc>
        <w:tc>
          <w:tcPr>
            <w:tcW w:w="3024" w:type="dxa"/>
            <w:tcBorders>
              <w:top w:val="single" w:sz="4" w:space="0" w:color="auto"/>
              <w:left w:val="nil"/>
              <w:bottom w:val="nil"/>
              <w:right w:val="nil"/>
            </w:tcBorders>
            <w:vAlign w:val="center"/>
          </w:tcPr>
          <w:p w14:paraId="547D98D2" w14:textId="77777777" w:rsidR="00CA7A69" w:rsidRPr="00CA7A69" w:rsidRDefault="00CA7A69" w:rsidP="00CA7A69">
            <w:pPr>
              <w:spacing w:before="60" w:line="360" w:lineRule="auto"/>
              <w:jc w:val="center"/>
              <w:rPr>
                <w:rFonts w:ascii="Palatino Linotype" w:hAnsi="Palatino Linotype"/>
                <w:color w:val="0D0D0D"/>
                <w:sz w:val="16"/>
                <w:szCs w:val="18"/>
                <w:lang w:val="en-GB"/>
              </w:rPr>
            </w:pPr>
            <w:r w:rsidRPr="00CA7A69">
              <w:rPr>
                <w:rFonts w:ascii="Palatino Linotype" w:hAnsi="Palatino Linotype"/>
                <w:bCs/>
                <w:color w:val="0D0D0D"/>
                <w:sz w:val="16"/>
                <w:szCs w:val="18"/>
                <w:lang w:val="en-US"/>
              </w:rPr>
              <w:t>Available structural storage capacity (</w:t>
            </w:r>
            <m:oMath>
              <m:sSub>
                <m:sSubPr>
                  <m:ctrlPr>
                    <w:rPr>
                      <w:rFonts w:ascii="Cambria Math" w:hAnsi="Cambria Math"/>
                      <w:i/>
                      <w:color w:val="0D0D0D"/>
                      <w:sz w:val="16"/>
                      <w:szCs w:val="18"/>
                    </w:rPr>
                  </m:ctrlPr>
                </m:sSubPr>
                <m:e>
                  <m:r>
                    <w:rPr>
                      <w:rFonts w:ascii="Cambria Math" w:hAnsi="Cambria Math"/>
                      <w:color w:val="0D0D0D"/>
                      <w:sz w:val="16"/>
                      <w:szCs w:val="18"/>
                    </w:rPr>
                    <m:t>C</m:t>
                  </m:r>
                </m:e>
                <m:sub>
                  <m:r>
                    <w:rPr>
                      <w:rFonts w:ascii="Cambria Math" w:hAnsi="Cambria Math"/>
                      <w:color w:val="0D0D0D"/>
                      <w:sz w:val="16"/>
                      <w:szCs w:val="18"/>
                    </w:rPr>
                    <m:t>ADR</m:t>
                  </m:r>
                </m:sub>
              </m:sSub>
            </m:oMath>
            <w:r w:rsidRPr="00CA7A69">
              <w:rPr>
                <w:rFonts w:ascii="Palatino Linotype" w:hAnsi="Palatino Linotype"/>
                <w:bCs/>
                <w:color w:val="0D0D0D"/>
                <w:sz w:val="16"/>
                <w:szCs w:val="18"/>
                <w:lang w:val="en-US"/>
              </w:rPr>
              <w:t>)</w:t>
            </w:r>
          </w:p>
        </w:tc>
        <w:tc>
          <w:tcPr>
            <w:tcW w:w="3964" w:type="dxa"/>
            <w:tcBorders>
              <w:top w:val="single" w:sz="4" w:space="0" w:color="auto"/>
              <w:left w:val="nil"/>
              <w:bottom w:val="nil"/>
              <w:right w:val="nil"/>
            </w:tcBorders>
            <w:vAlign w:val="center"/>
          </w:tcPr>
          <w:p w14:paraId="715C98A9" w14:textId="77777777" w:rsidR="00CA7A69" w:rsidRPr="00CA7A69" w:rsidRDefault="005B195F" w:rsidP="00CA7A69">
            <w:pPr>
              <w:spacing w:line="360" w:lineRule="auto"/>
              <w:jc w:val="center"/>
              <w:rPr>
                <w:rFonts w:eastAsia="Calibri"/>
                <w:color w:val="0D0D0D"/>
                <w:sz w:val="18"/>
                <w:lang w:val="en-GB"/>
              </w:rPr>
            </w:pPr>
            <m:oMathPara>
              <m:oMath>
                <m:sSub>
                  <m:sSubPr>
                    <m:ctrlPr>
                      <w:rPr>
                        <w:rFonts w:ascii="Cambria Math" w:hAnsi="Cambria Math"/>
                        <w:i/>
                        <w:color w:val="0D0D0D"/>
                        <w:sz w:val="18"/>
                      </w:rPr>
                    </m:ctrlPr>
                  </m:sSubPr>
                  <m:e>
                    <m:r>
                      <w:rPr>
                        <w:rFonts w:ascii="Cambria Math" w:hAnsi="Cambria Math"/>
                        <w:color w:val="0D0D0D"/>
                        <w:sz w:val="18"/>
                      </w:rPr>
                      <m:t>C</m:t>
                    </m:r>
                  </m:e>
                  <m:sub>
                    <m:r>
                      <w:rPr>
                        <w:rFonts w:ascii="Cambria Math" w:hAnsi="Cambria Math"/>
                        <w:color w:val="0D0D0D"/>
                        <w:sz w:val="18"/>
                      </w:rPr>
                      <m:t>ADR</m:t>
                    </m:r>
                  </m:sub>
                </m:sSub>
                <m:r>
                  <w:rPr>
                    <w:rFonts w:ascii="Cambria Math" w:hAnsi="Cambria Math"/>
                    <w:color w:val="0D0D0D"/>
                    <w:sz w:val="18"/>
                    <w:lang w:val="en-US"/>
                  </w:rPr>
                  <m:t>=</m:t>
                </m:r>
                <m:nary>
                  <m:naryPr>
                    <m:limLoc m:val="subSup"/>
                    <m:ctrlPr>
                      <w:rPr>
                        <w:rFonts w:ascii="Cambria Math" w:hAnsi="Cambria Math"/>
                        <w:i/>
                        <w:color w:val="0D0D0D"/>
                        <w:sz w:val="18"/>
                      </w:rPr>
                    </m:ctrlPr>
                  </m:naryPr>
                  <m:sub>
                    <m:r>
                      <w:rPr>
                        <w:rFonts w:ascii="Cambria Math" w:hAnsi="Cambria Math"/>
                        <w:color w:val="0D0D0D"/>
                        <w:sz w:val="18"/>
                        <w:lang w:val="en-US"/>
                      </w:rPr>
                      <m:t>0</m:t>
                    </m:r>
                  </m:sub>
                  <m:sup>
                    <m:r>
                      <w:rPr>
                        <w:rFonts w:ascii="Cambria Math" w:hAnsi="Cambria Math"/>
                        <w:color w:val="0D0D0D"/>
                        <w:sz w:val="18"/>
                      </w:rPr>
                      <m:t>T</m:t>
                    </m:r>
                  </m:sup>
                  <m:e>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ADR</m:t>
                        </m:r>
                      </m:sub>
                    </m:sSub>
                  </m:e>
                </m:nary>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r>
                  <w:rPr>
                    <w:rFonts w:ascii="Cambria Math" w:hAnsi="Cambria Math"/>
                    <w:color w:val="0D0D0D"/>
                    <w:sz w:val="18"/>
                  </w:rPr>
                  <m:t>dt</m:t>
                </m:r>
              </m:oMath>
            </m:oMathPara>
          </w:p>
        </w:tc>
        <w:tc>
          <w:tcPr>
            <w:tcW w:w="5391" w:type="dxa"/>
            <w:vMerge w:val="restart"/>
            <w:tcBorders>
              <w:top w:val="single" w:sz="4" w:space="0" w:color="auto"/>
              <w:left w:val="nil"/>
              <w:bottom w:val="nil"/>
              <w:right w:val="nil"/>
            </w:tcBorders>
          </w:tcPr>
          <w:p w14:paraId="08598C93" w14:textId="77777777" w:rsidR="00CA7A69" w:rsidRPr="00CA7A69" w:rsidRDefault="00CA7A69" w:rsidP="00CA7A69">
            <w:pPr>
              <w:spacing w:line="360" w:lineRule="auto"/>
              <w:jc w:val="center"/>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ADR</m:t>
                  </m:r>
                </m:sub>
              </m:sSub>
            </m:oMath>
            <w:r w:rsidRPr="00CA7A69">
              <w:rPr>
                <w:rFonts w:ascii="Palatino Linotype" w:hAnsi="Palatino Linotype"/>
                <w:color w:val="0D0D0D"/>
                <w:sz w:val="16"/>
                <w:szCs w:val="18"/>
                <w:lang w:val="en-GB"/>
              </w:rPr>
              <w:t>: heating power during the ADR event</w:t>
            </w:r>
          </w:p>
          <w:p w14:paraId="6E729C92" w14:textId="77777777" w:rsidR="00CA7A69" w:rsidRPr="00CA7A69" w:rsidRDefault="00CA7A69" w:rsidP="00CA7A69">
            <w:pPr>
              <w:spacing w:line="360" w:lineRule="auto"/>
              <w:jc w:val="center"/>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ref</m:t>
                  </m:r>
                </m:sub>
              </m:sSub>
            </m:oMath>
            <w:r w:rsidRPr="00CA7A69">
              <w:rPr>
                <w:rFonts w:ascii="Palatino Linotype" w:hAnsi="Palatino Linotype"/>
                <w:color w:val="0D0D0D"/>
                <w:sz w:val="16"/>
                <w:szCs w:val="18"/>
                <w:lang w:val="en-GB"/>
              </w:rPr>
              <w:t>: heating power during the ref. case</w:t>
            </w:r>
          </w:p>
          <w:p w14:paraId="3DED7D95" w14:textId="77777777" w:rsidR="00CA7A69" w:rsidRPr="00CA7A69" w:rsidRDefault="00CA7A69" w:rsidP="00CA7A69">
            <w:pPr>
              <w:spacing w:line="360" w:lineRule="auto"/>
              <w:jc w:val="center"/>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w:t>
            </w:r>
          </w:p>
          <w:p w14:paraId="5AF7905F" w14:textId="77777777" w:rsidR="00CA7A69" w:rsidRPr="00CA7A69" w:rsidRDefault="00CA7A69" w:rsidP="00CA7A69">
            <w:pPr>
              <w:spacing w:line="360" w:lineRule="auto"/>
              <w:jc w:val="center"/>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 period</w:t>
            </w:r>
          </w:p>
        </w:tc>
        <w:tc>
          <w:tcPr>
            <w:tcW w:w="1413" w:type="dxa"/>
            <w:tcBorders>
              <w:top w:val="single" w:sz="4" w:space="0" w:color="auto"/>
              <w:left w:val="nil"/>
              <w:bottom w:val="nil"/>
              <w:right w:val="nil"/>
            </w:tcBorders>
            <w:vAlign w:val="center"/>
          </w:tcPr>
          <w:p w14:paraId="666A8525" w14:textId="5014A08F" w:rsidR="00CA7A69" w:rsidRPr="00CA7A69" w:rsidRDefault="00CA7A69" w:rsidP="00CA7A69">
            <w:pPr>
              <w:spacing w:before="20" w:line="360" w:lineRule="auto"/>
              <w:jc w:val="center"/>
              <w:rPr>
                <w:color w:val="0D0D0D"/>
                <w:sz w:val="14"/>
                <w:szCs w:val="16"/>
                <w:lang w:val="en-GB"/>
              </w:rPr>
            </w:pPr>
            <w:r w:rsidRPr="00CA7A69">
              <w:rPr>
                <w:color w:val="0D0D0D"/>
                <w:sz w:val="14"/>
                <w:szCs w:val="16"/>
              </w:rPr>
              <w:fldChar w:fldCharType="begin" w:fldLock="1"/>
            </w:r>
            <w:r w:rsidR="001D3C8C">
              <w:rPr>
                <w:color w:val="0D0D0D"/>
                <w:sz w:val="14"/>
                <w:szCs w:val="16"/>
                <w:lang w:val="en-GB"/>
              </w:rPr>
              <w:instrText>ADDIN CSL_CITATION {"citationItems":[{"id":"ITEM-1","itemData":{"abstract":"Active demand response (ADR) using the thermal mass of buildings is often suggested as a key technology to enable the transition to a sustainable energy market. Nevertheless, a generic method to quantify the ADR potential of structural thermal energy storage and that enables a comparison with other buildings or even different storage technologies, is currently missing. In this paper, the available storage capacity, efficiency of the storage process and power shifting capability are defined and demonstrated as key performance indicators for the ADR potential of structural storage. Building energy simulations are used to quantify these indicators as function of building design parameters, showing that the ADR potential mainly depends on the heat loss coefficient and available thermal mass. Moreover, it is shown that the efficiency and the available storage capacity are not constant but depend on the dynamic boundary conditions.a.","author":[{"dropping-particle":"","family":"Reynders","given":"G.","non-dropping-particle":"","parse-names":false,"suffix":""},{"dropping-particle":"","family":"Diriken","given":"J.","non-dropping-particle":"","parse-names":false,"suffix":""},{"dropping-particle":"","family":"Saelens","given":"D.","non-dropping-particle":"","parse-names":false,"suffix":""}],"container-title":"14th International Conference of IBPSA - Building Simulation 2015, BS 2015, Conference Proceedings","id":"ITEM-1","issued":{"date-parts":[["2015"]]},"page":"1986-1993","title":"A generic quantification method for the active demand response potential of structural storage in buildings","type":"article-journal"},"uris":["http://www.mendeley.com/documents/?uuid=a5f1ad5f-18e5-4887-8522-5f126a4d8dfc","http://www.mendeley.com/documents/?uuid=49b96969-efe5-476b-8665-81bbe44fce0e","http://www.mendeley.com/documents/?uuid=f131047a-9c6b-4da9-9c2d-259b416350d4"]}],"mendeley":{"formattedCitation":"(Reynders et al., 2015)","plainTextFormattedCitation":"(Reynders et al., 2015)","previouslyFormattedCitation":"(Reynders, Diriken, and Saelens 2015)"},"properties":{"noteIndex":0},"schema":"https://github.com/citation-style-language/schema/raw/master/csl-citation.json"}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(Reynders et al., 2015)</w:t>
            </w:r>
            <w:r w:rsidRPr="00CA7A69">
              <w:rPr>
                <w:color w:val="0D0D0D"/>
                <w:sz w:val="14"/>
                <w:szCs w:val="16"/>
              </w:rPr>
              <w:fldChar w:fldCharType="end"/>
            </w:r>
          </w:p>
        </w:tc>
      </w:tr>
      <w:tr w:rsidR="00CA7A69" w:rsidRPr="00CA7A69" w14:paraId="32B74877" w14:textId="77777777" w:rsidTr="00117EAB">
        <w:trPr>
          <w:trHeight w:val="478"/>
          <w:jc w:val="center"/>
        </w:trPr>
        <w:tc>
          <w:tcPr>
            <w:tcW w:w="546" w:type="dxa"/>
            <w:vMerge w:val="restart"/>
            <w:tcBorders>
              <w:top w:val="nil"/>
              <w:left w:val="nil"/>
              <w:bottom w:val="nil"/>
              <w:right w:val="nil"/>
            </w:tcBorders>
            <w:vAlign w:val="center"/>
          </w:tcPr>
          <w:p w14:paraId="77215C99" w14:textId="7774F90A" w:rsidR="00CA7A69" w:rsidRPr="00CA7A69" w:rsidRDefault="00963DC1" w:rsidP="00CA7A69">
            <w:pPr>
              <w:spacing w:before="12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4</w:t>
            </w:r>
            <w:r w:rsidR="00CA7A69" w:rsidRPr="00CA7A69">
              <w:rPr>
                <w:rFonts w:ascii="Palatino Linotype" w:hAnsi="Palatino Linotype"/>
                <w:color w:val="0D0D0D"/>
                <w:sz w:val="14"/>
                <w:szCs w:val="16"/>
                <w:lang w:val="en-GB"/>
              </w:rPr>
              <w:t>.2</w:t>
            </w:r>
          </w:p>
        </w:tc>
        <w:tc>
          <w:tcPr>
            <w:tcW w:w="3024" w:type="dxa"/>
            <w:vMerge w:val="restart"/>
            <w:tcBorders>
              <w:top w:val="nil"/>
              <w:left w:val="nil"/>
              <w:bottom w:val="nil"/>
              <w:right w:val="nil"/>
            </w:tcBorders>
            <w:vAlign w:val="center"/>
          </w:tcPr>
          <w:p w14:paraId="55EA4EB2" w14:textId="77777777" w:rsidR="00CA7A69" w:rsidRPr="00CA7A69" w:rsidRDefault="00CA7A69" w:rsidP="00CA7A69">
            <w:pPr>
              <w:spacing w:before="120" w:line="360" w:lineRule="auto"/>
              <w:jc w:val="center"/>
              <w:rPr>
                <w:rFonts w:ascii="Palatino Linotype" w:hAnsi="Palatino Linotype"/>
                <w:color w:val="0D0D0D"/>
                <w:sz w:val="16"/>
                <w:szCs w:val="18"/>
                <w:lang w:val="en-GB"/>
              </w:rPr>
            </w:pPr>
            <w:r w:rsidRPr="00CA7A69">
              <w:rPr>
                <w:rFonts w:ascii="Palatino Linotype" w:hAnsi="Palatino Linotype"/>
                <w:bCs/>
                <w:color w:val="0D0D0D"/>
                <w:sz w:val="16"/>
                <w:szCs w:val="18"/>
              </w:rPr>
              <w:t>Storage efficiency (</w:t>
            </w:r>
            <m:oMath>
              <m:sSub>
                <m:sSubPr>
                  <m:ctrlPr>
                    <w:rPr>
                      <w:rFonts w:ascii="Cambria Math" w:hAnsi="Cambria Math"/>
                      <w:i/>
                      <w:color w:val="0D0D0D"/>
                      <w:sz w:val="16"/>
                      <w:szCs w:val="18"/>
                    </w:rPr>
                  </m:ctrlPr>
                </m:sSubPr>
                <m:e>
                  <m:r>
                    <m:rPr>
                      <m:sty m:val="p"/>
                    </m:rPr>
                    <w:rPr>
                      <w:rFonts w:ascii="Cambria Math" w:hAnsi="Cambria Math" w:cs="Cambria Math"/>
                      <w:color w:val="0D0D0D"/>
                      <w:sz w:val="16"/>
                      <w:szCs w:val="18"/>
                    </w:rPr>
                    <m:t>η</m:t>
                  </m:r>
                </m:e>
                <m:sub>
                  <m:r>
                    <w:rPr>
                      <w:rFonts w:ascii="Cambria Math" w:hAnsi="Cambria Math"/>
                      <w:color w:val="0D0D0D"/>
                      <w:sz w:val="16"/>
                      <w:szCs w:val="18"/>
                    </w:rPr>
                    <m:t>ADR</m:t>
                  </m:r>
                </m:sub>
              </m:sSub>
            </m:oMath>
            <w:r w:rsidRPr="00CA7A69">
              <w:rPr>
                <w:rFonts w:ascii="Palatino Linotype" w:hAnsi="Palatino Linotype"/>
                <w:color w:val="0D0D0D"/>
                <w:sz w:val="16"/>
                <w:szCs w:val="18"/>
              </w:rPr>
              <w:t>)</w:t>
            </w:r>
          </w:p>
        </w:tc>
        <w:tc>
          <w:tcPr>
            <w:tcW w:w="3964" w:type="dxa"/>
            <w:tcBorders>
              <w:top w:val="nil"/>
              <w:left w:val="nil"/>
              <w:bottom w:val="nil"/>
              <w:right w:val="nil"/>
            </w:tcBorders>
            <w:vAlign w:val="center"/>
          </w:tcPr>
          <w:p w14:paraId="18D9D8E9" w14:textId="77777777" w:rsidR="00CA7A69" w:rsidRPr="00CA7A69" w:rsidRDefault="005B195F" w:rsidP="00CA7A69">
            <w:pPr>
              <w:spacing w:line="360" w:lineRule="auto"/>
              <w:jc w:val="center"/>
              <w:rPr>
                <w:rFonts w:eastAsia="Calibri"/>
                <w:color w:val="0D0D0D"/>
                <w:lang w:val="en-GB"/>
              </w:rPr>
            </w:pPr>
            <m:oMathPara>
              <m:oMath>
                <m:sSub>
                  <m:sSubPr>
                    <m:ctrlPr>
                      <w:rPr>
                        <w:rFonts w:ascii="Cambria Math" w:hAnsi="Cambria Math"/>
                        <w:i/>
                        <w:color w:val="0D0D0D"/>
                      </w:rPr>
                    </m:ctrlPr>
                  </m:sSubPr>
                  <m:e>
                    <m:r>
                      <m:rPr>
                        <m:sty m:val="p"/>
                      </m:rPr>
                      <w:rPr>
                        <w:rFonts w:ascii="Cambria Math" w:hAnsi="Cambria Math" w:cs="Cambria Math"/>
                        <w:color w:val="0D0D0D"/>
                      </w:rPr>
                      <m:t>η</m:t>
                    </m:r>
                  </m:e>
                  <m:sub>
                    <m:r>
                      <w:rPr>
                        <w:rFonts w:ascii="Cambria Math" w:hAnsi="Cambria Math"/>
                        <w:color w:val="0D0D0D"/>
                      </w:rPr>
                      <m:t>ADR</m:t>
                    </m:r>
                  </m:sub>
                </m:sSub>
                <m:r>
                  <w:rPr>
                    <w:rFonts w:ascii="Cambria Math" w:hAnsi="Cambria Math"/>
                    <w:color w:val="0D0D0D"/>
                    <w:lang w:val="en-GB"/>
                  </w:rPr>
                  <m:t>=1-</m:t>
                </m:r>
                <m:f>
                  <m:fPr>
                    <m:ctrlPr>
                      <w:rPr>
                        <w:rFonts w:ascii="Cambria Math" w:hAnsi="Cambria Math"/>
                        <w:i/>
                        <w:color w:val="0D0D0D"/>
                      </w:rPr>
                    </m:ctrlPr>
                  </m:fPr>
                  <m:num>
                    <m:nary>
                      <m:naryPr>
                        <m:limLoc m:val="subSup"/>
                        <m:ctrlPr>
                          <w:rPr>
                            <w:rFonts w:ascii="Cambria Math" w:hAnsi="Cambria Math"/>
                            <w:i/>
                            <w:color w:val="0D0D0D"/>
                          </w:rPr>
                        </m:ctrlPr>
                      </m:naryPr>
                      <m:sub>
                        <m:r>
                          <w:rPr>
                            <w:rFonts w:ascii="Cambria Math" w:hAnsi="Cambria Math"/>
                            <w:color w:val="0D0D0D"/>
                            <w:lang w:val="en-GB"/>
                          </w:rPr>
                          <m:t>0</m:t>
                        </m:r>
                      </m:sub>
                      <m:sup>
                        <m:r>
                          <w:rPr>
                            <w:rFonts w:ascii="Cambria Math" w:hAnsi="Cambria Math" w:cs="Calibri"/>
                            <w:color w:val="0D0D0D"/>
                            <w:lang w:val="en-GB"/>
                          </w:rPr>
                          <m:t>∞</m:t>
                        </m:r>
                      </m:sup>
                      <m:e>
                        <m:r>
                          <w:rPr>
                            <w:rFonts w:ascii="Cambria Math" w:hAnsi="Cambria Math"/>
                            <w:color w:val="0D0D0D"/>
                            <w:lang w:val="en-GB"/>
                          </w:rPr>
                          <m:t>(</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rPr>
                              <m:t>ADR</m:t>
                            </m:r>
                          </m:sub>
                        </m:sSub>
                      </m:e>
                    </m:nary>
                    <m:r>
                      <w:rPr>
                        <w:rFonts w:ascii="Cambria Math" w:hAnsi="Cambria Math"/>
                        <w:color w:val="0D0D0D"/>
                        <w:lang w:val="en-GB"/>
                      </w:rPr>
                      <m:t>-</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rPr>
                          <m:t>ref</m:t>
                        </m:r>
                      </m:sub>
                    </m:sSub>
                    <m:r>
                      <w:rPr>
                        <w:rFonts w:ascii="Cambria Math" w:hAnsi="Cambria Math"/>
                        <w:color w:val="0D0D0D"/>
                        <w:lang w:val="en-GB"/>
                      </w:rPr>
                      <m:t>)(</m:t>
                    </m:r>
                    <m:r>
                      <w:rPr>
                        <w:rFonts w:ascii="Cambria Math" w:hAnsi="Cambria Math"/>
                        <w:color w:val="0D0D0D"/>
                      </w:rPr>
                      <m:t>t</m:t>
                    </m:r>
                    <m:r>
                      <w:rPr>
                        <w:rFonts w:ascii="Cambria Math" w:hAnsi="Cambria Math"/>
                        <w:color w:val="0D0D0D"/>
                        <w:lang w:val="en-GB"/>
                      </w:rPr>
                      <m:t>)</m:t>
                    </m:r>
                    <m:r>
                      <w:rPr>
                        <w:rFonts w:ascii="Cambria Math" w:hAnsi="Cambria Math"/>
                        <w:color w:val="0D0D0D"/>
                      </w:rPr>
                      <m:t>dt</m:t>
                    </m:r>
                  </m:num>
                  <m:den>
                    <m:nary>
                      <m:naryPr>
                        <m:limLoc m:val="subSup"/>
                        <m:ctrlPr>
                          <w:rPr>
                            <w:rFonts w:ascii="Cambria Math" w:hAnsi="Cambria Math"/>
                            <w:i/>
                            <w:color w:val="0D0D0D"/>
                          </w:rPr>
                        </m:ctrlPr>
                      </m:naryPr>
                      <m:sub>
                        <m:r>
                          <w:rPr>
                            <w:rFonts w:ascii="Cambria Math" w:hAnsi="Cambria Math"/>
                            <w:color w:val="0D0D0D"/>
                            <w:lang w:val="en-GB"/>
                          </w:rPr>
                          <m:t>0</m:t>
                        </m:r>
                      </m:sub>
                      <m:sup>
                        <m:r>
                          <w:rPr>
                            <w:rFonts w:ascii="Cambria Math" w:hAnsi="Cambria Math"/>
                            <w:color w:val="0D0D0D"/>
                          </w:rPr>
                          <m:t>T</m:t>
                        </m:r>
                      </m:sup>
                      <m:e>
                        <m:r>
                          <w:rPr>
                            <w:rFonts w:ascii="Cambria Math" w:hAnsi="Cambria Math"/>
                            <w:color w:val="0D0D0D"/>
                            <w:lang w:val="en-GB"/>
                          </w:rPr>
                          <m:t>(</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rPr>
                              <m:t>ADR</m:t>
                            </m:r>
                          </m:sub>
                        </m:sSub>
                      </m:e>
                    </m:nary>
                    <m:r>
                      <w:rPr>
                        <w:rFonts w:ascii="Cambria Math" w:hAnsi="Cambria Math"/>
                        <w:color w:val="0D0D0D"/>
                        <w:lang w:val="en-GB"/>
                      </w:rPr>
                      <m:t>-</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rPr>
                          <m:t>ref</m:t>
                        </m:r>
                      </m:sub>
                    </m:sSub>
                    <m:r>
                      <w:rPr>
                        <w:rFonts w:ascii="Cambria Math" w:hAnsi="Cambria Math"/>
                        <w:color w:val="0D0D0D"/>
                        <w:lang w:val="en-GB"/>
                      </w:rPr>
                      <m:t>)(</m:t>
                    </m:r>
                    <m:r>
                      <w:rPr>
                        <w:rFonts w:ascii="Cambria Math" w:hAnsi="Cambria Math"/>
                        <w:color w:val="0D0D0D"/>
                      </w:rPr>
                      <m:t>t</m:t>
                    </m:r>
                    <m:r>
                      <w:rPr>
                        <w:rFonts w:ascii="Cambria Math" w:hAnsi="Cambria Math"/>
                        <w:color w:val="0D0D0D"/>
                        <w:lang w:val="en-GB"/>
                      </w:rPr>
                      <m:t>)</m:t>
                    </m:r>
                    <m:r>
                      <w:rPr>
                        <w:rFonts w:ascii="Cambria Math" w:hAnsi="Cambria Math"/>
                        <w:color w:val="0D0D0D"/>
                      </w:rPr>
                      <m:t>dt</m:t>
                    </m:r>
                  </m:den>
                </m:f>
              </m:oMath>
            </m:oMathPara>
          </w:p>
        </w:tc>
        <w:tc>
          <w:tcPr>
            <w:tcW w:w="5391" w:type="dxa"/>
            <w:vMerge/>
            <w:tcBorders>
              <w:top w:val="nil"/>
              <w:left w:val="nil"/>
              <w:bottom w:val="nil"/>
              <w:right w:val="nil"/>
            </w:tcBorders>
          </w:tcPr>
          <w:p w14:paraId="786318BD" w14:textId="77777777" w:rsidR="00CA7A69" w:rsidRPr="00CA7A69" w:rsidRDefault="00CA7A69" w:rsidP="00CA7A69">
            <w:pPr>
              <w:spacing w:line="360" w:lineRule="auto"/>
              <w:jc w:val="center"/>
              <w:rPr>
                <w:rFonts w:ascii="Palatino Linotype" w:hAnsi="Palatino Linotype"/>
                <w:color w:val="0D0D0D"/>
                <w:sz w:val="16"/>
                <w:szCs w:val="18"/>
                <w:lang w:val="en-GB"/>
              </w:rPr>
            </w:pPr>
          </w:p>
        </w:tc>
        <w:tc>
          <w:tcPr>
            <w:tcW w:w="1413" w:type="dxa"/>
            <w:tcBorders>
              <w:top w:val="nil"/>
              <w:left w:val="nil"/>
              <w:bottom w:val="nil"/>
              <w:right w:val="nil"/>
            </w:tcBorders>
            <w:vAlign w:val="center"/>
          </w:tcPr>
          <w:p w14:paraId="0CB91069" w14:textId="19CA65AE" w:rsidR="00CA7A69" w:rsidRPr="00CA7A69" w:rsidRDefault="00CA7A69" w:rsidP="00CA7A69">
            <w:pPr>
              <w:spacing w:before="20" w:line="360" w:lineRule="auto"/>
              <w:jc w:val="center"/>
              <w:rPr>
                <w:color w:val="0D0D0D"/>
                <w:sz w:val="14"/>
                <w:szCs w:val="16"/>
                <w:lang w:val="en-GB"/>
              </w:rPr>
            </w:pPr>
            <w:r w:rsidRPr="00CA7A69">
              <w:rPr>
                <w:color w:val="0D0D0D"/>
                <w:sz w:val="14"/>
                <w:szCs w:val="16"/>
              </w:rPr>
              <w:fldChar w:fldCharType="begin" w:fldLock="1"/>
            </w:r>
            <w:r w:rsidR="001D3C8C">
              <w:rPr>
                <w:color w:val="0D0D0D"/>
                <w:sz w:val="14"/>
                <w:szCs w:val="16"/>
              </w:rPr>
              <w:instrText>ADDIN CSL_CITATION {"citationItems":[{"id":"ITEM-1","itemData":{"abstract":"Active demand response (ADR) using the thermal mass of buildings is often suggested as a key technology to enable the transition to a sustainable energy market. Nevertheless, a generic method to quantify the ADR potential of structural thermal energy storage and that enables a comparison with other buildings or even different storage technologies, is currently missing. In this paper, the available storage capacity, efficiency of the storage process and power shifting capability are defined and demonstrated as key performance indicators for the ADR potential of structural storage. Building energy simulations are used to quantify these indicators as function of building design parameters, showing that the ADR potential mainly depends on the heat loss coefficient and available thermal mass. Moreover, it is shown that the efficiency and the available storage capacity are not constant but depend on the dynamic boundary conditions.a.","author":[{"dropping-particle":"","family":"Reynders","given":"G.","non-dropping-particle":"","parse-names":false,"suffix":""},{"dropping-particle":"","family":"Diriken","given":"J.","non-dropping-particle":"","parse-names":false,"suffix":""},{"dropping-particle":"","family":"Saelens","given":"D.","non-dropping-particle":"","parse-names":false,"suffix":""}],"container-title":"14th International Conference of IBPSA - Building Simulation 2015, BS 2015, Conference Proceedings","id":"ITEM-1","issued":{"date-parts":[["2015"]]},"page":"1986-1993","title":"A generic quantification method for the active demand response potential of structural storage in buildings","type":"article-journal"},"uris":["http://www.mendeley.com/documents/?uuid=f131047a-9c6b-4da9-9c2d-259b416350d4","http://www.mendeley.com/documents/?uuid=a5f1ad5f-18e5-4887-8522-5f126a4d8dfc","http://www.mendeley.com/documents/?uuid=49b96969-efe5-476b-8665-81bbe44fce0e"]}],"mendeley":{"formattedCitation":"(Reynders et al., 2015)","plainTextFormattedCitation":"(Reynders et al., 2015)","previouslyFormattedCitation":"(Reynders et al. 2015)"},"properties":{"noteIndex":0},"schema":"https://github.com/citation-style-language/schema/raw/master/csl-citation.json"}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(Reynders et al., 2015)</w:t>
            </w:r>
            <w:r w:rsidRPr="00CA7A69">
              <w:rPr>
                <w:color w:val="0D0D0D"/>
                <w:sz w:val="14"/>
                <w:szCs w:val="16"/>
              </w:rPr>
              <w:fldChar w:fldCharType="end"/>
            </w:r>
          </w:p>
        </w:tc>
      </w:tr>
      <w:tr w:rsidR="00CA7A69" w:rsidRPr="00CA7A69" w14:paraId="00950101" w14:textId="77777777" w:rsidTr="00117EAB">
        <w:trPr>
          <w:trHeight w:val="478"/>
          <w:jc w:val="center"/>
        </w:trPr>
        <w:tc>
          <w:tcPr>
            <w:tcW w:w="546" w:type="dxa"/>
            <w:vMerge/>
            <w:tcBorders>
              <w:top w:val="nil"/>
              <w:left w:val="nil"/>
              <w:bottom w:val="nil"/>
              <w:right w:val="nil"/>
            </w:tcBorders>
            <w:vAlign w:val="center"/>
          </w:tcPr>
          <w:p w14:paraId="3C63B92C" w14:textId="77777777" w:rsidR="00CA7A69" w:rsidRPr="00CA7A69" w:rsidRDefault="00CA7A69" w:rsidP="00CA7A69">
            <w:pPr>
              <w:spacing w:before="60" w:line="360" w:lineRule="auto"/>
              <w:jc w:val="both"/>
              <w:rPr>
                <w:rFonts w:ascii="Palatino Linotype" w:hAnsi="Palatino Linotype"/>
                <w:color w:val="0D0D0D"/>
                <w:sz w:val="14"/>
                <w:szCs w:val="16"/>
                <w:lang w:val="en-GB"/>
              </w:rPr>
            </w:pPr>
          </w:p>
        </w:tc>
        <w:tc>
          <w:tcPr>
            <w:tcW w:w="3024" w:type="dxa"/>
            <w:vMerge/>
            <w:tcBorders>
              <w:top w:val="nil"/>
              <w:left w:val="nil"/>
              <w:bottom w:val="nil"/>
              <w:right w:val="nil"/>
            </w:tcBorders>
            <w:vAlign w:val="center"/>
          </w:tcPr>
          <w:p w14:paraId="58C3B2D0" w14:textId="77777777" w:rsidR="00CA7A69" w:rsidRPr="00CA7A69" w:rsidRDefault="00CA7A69" w:rsidP="00CA7A69">
            <w:pPr>
              <w:spacing w:before="60" w:line="360" w:lineRule="auto"/>
              <w:jc w:val="center"/>
              <w:rPr>
                <w:rFonts w:ascii="Palatino Linotype" w:hAnsi="Palatino Linotype"/>
                <w:color w:val="0D0D0D"/>
                <w:sz w:val="16"/>
                <w:szCs w:val="18"/>
                <w:lang w:val="en-GB"/>
              </w:rPr>
            </w:pPr>
          </w:p>
        </w:tc>
        <w:tc>
          <w:tcPr>
            <w:tcW w:w="3964" w:type="dxa"/>
            <w:tcBorders>
              <w:top w:val="nil"/>
              <w:left w:val="nil"/>
              <w:bottom w:val="nil"/>
              <w:right w:val="nil"/>
            </w:tcBorders>
            <w:vAlign w:val="center"/>
          </w:tcPr>
          <w:p w14:paraId="66AFA9A1" w14:textId="71DD508B" w:rsidR="00CA7A69" w:rsidRPr="00CA7A69" w:rsidRDefault="005B195F" w:rsidP="00CA7A69">
            <w:pPr>
              <w:spacing w:line="360" w:lineRule="auto"/>
              <w:jc w:val="center"/>
              <w:rPr>
                <w:rFonts w:eastAsia="Calibri"/>
                <w:color w:val="0D0D0D"/>
                <w:lang w:val="en-GB"/>
              </w:rPr>
            </w:pPr>
            <m:oMathPara>
              <m:oMath>
                <m:sSub>
                  <m:sSubPr>
                    <m:ctrlPr>
                      <w:rPr>
                        <w:rFonts w:ascii="Cambria Math" w:hAnsi="Cambria Math"/>
                        <w:i/>
                        <w:color w:val="0D0D0D"/>
                        <w:sz w:val="18"/>
                      </w:rPr>
                    </m:ctrlPr>
                  </m:sSubPr>
                  <m:e>
                    <m:r>
                      <w:rPr>
                        <w:rFonts w:ascii="Cambria Math" w:hAnsi="Cambria Math" w:cs="Cambria Math"/>
                        <w:color w:val="0D0D0D"/>
                        <w:sz w:val="18"/>
                      </w:rPr>
                      <m:t>η</m:t>
                    </m:r>
                  </m:e>
                  <m:sub>
                    <m:r>
                      <w:rPr>
                        <w:rFonts w:ascii="Cambria Math" w:hAnsi="Cambria Math"/>
                        <w:color w:val="0D0D0D"/>
                        <w:sz w:val="18"/>
                      </w:rPr>
                      <m:t>ADR</m:t>
                    </m:r>
                  </m:sub>
                </m:sSub>
                <m:r>
                  <w:rPr>
                    <w:rFonts w:ascii="Cambria Math" w:hAnsi="Cambria Math"/>
                    <w:color w:val="0D0D0D"/>
                    <w:sz w:val="18"/>
                    <w:lang w:val="en-GB"/>
                  </w:rPr>
                  <m:t>≅</m:t>
                </m:r>
                <m:f>
                  <m:fPr>
                    <m:ctrlPr>
                      <w:rPr>
                        <w:rFonts w:ascii="Cambria Math" w:hAnsi="Cambria Math"/>
                        <w:i/>
                        <w:color w:val="0D0D0D"/>
                        <w:sz w:val="18"/>
                      </w:rPr>
                    </m:ctrlPr>
                  </m:fPr>
                  <m:num>
                    <m:nary>
                      <m:naryPr>
                        <m:limLoc m:val="subSup"/>
                        <m:ctrlPr>
                          <w:rPr>
                            <w:rFonts w:ascii="Cambria Math" w:hAnsi="Cambria Math"/>
                            <w:i/>
                            <w:color w:val="0D0D0D"/>
                            <w:sz w:val="18"/>
                          </w:rPr>
                        </m:ctrlPr>
                      </m:naryPr>
                      <m:sub>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ADR</m:t>
                            </m:r>
                          </m:sub>
                        </m:sSub>
                      </m:sub>
                      <m:sup>
                        <m:r>
                          <w:rPr>
                            <w:rFonts w:ascii="Cambria Math" w:hAnsi="Cambria Math" w:cs="Calibri"/>
                            <w:color w:val="0D0D0D"/>
                            <w:sz w:val="18"/>
                            <w:lang w:val="en-GB"/>
                          </w:rPr>
                          <m:t>∞</m:t>
                        </m:r>
                      </m:sup>
                      <m:e>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ADR</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GB"/>
                      </w:rPr>
                      <m:t>)(</m:t>
                    </m:r>
                    <m:r>
                      <w:rPr>
                        <w:rFonts w:ascii="Cambria Math" w:hAnsi="Cambria Math"/>
                        <w:color w:val="0D0D0D"/>
                        <w:sz w:val="18"/>
                      </w:rPr>
                      <m:t>t</m:t>
                    </m:r>
                    <m:r>
                      <w:rPr>
                        <w:rFonts w:ascii="Cambria Math" w:hAnsi="Cambria Math"/>
                        <w:color w:val="0D0D0D"/>
                        <w:sz w:val="18"/>
                        <w:lang w:val="en-GB"/>
                      </w:rPr>
                      <m:t>)</m:t>
                    </m:r>
                    <m:r>
                      <w:rPr>
                        <w:rFonts w:ascii="Cambria Math" w:hAnsi="Cambria Math"/>
                        <w:color w:val="0D0D0D"/>
                        <w:sz w:val="18"/>
                      </w:rPr>
                      <m:t>dt</m:t>
                    </m:r>
                  </m:num>
                  <m:den>
                    <m:d>
                      <m:dPr>
                        <m:begChr m:val="|"/>
                        <m:endChr m:val="|"/>
                        <m:ctrlPr>
                          <w:rPr>
                            <w:rFonts w:ascii="Cambria Math" w:hAnsi="Cambria Math"/>
                            <w:i/>
                            <w:color w:val="0D0D0D"/>
                            <w:sz w:val="18"/>
                          </w:rPr>
                        </m:ctrlPr>
                      </m:dPr>
                      <m:e>
                        <m:nary>
                          <m:naryPr>
                            <m:limLoc m:val="subSup"/>
                            <m:ctrlPr>
                              <w:rPr>
                                <w:rFonts w:ascii="Cambria Math" w:hAnsi="Cambria Math"/>
                                <w:i/>
                                <w:color w:val="0D0D0D"/>
                                <w:sz w:val="18"/>
                              </w:rPr>
                            </m:ctrlPr>
                          </m:naryPr>
                          <m:sub>
                            <m:r>
                              <w:rPr>
                                <w:rFonts w:ascii="Cambria Math" w:hAnsi="Cambria Math"/>
                                <w:color w:val="0D0D0D"/>
                                <w:sz w:val="18"/>
                                <w:lang w:val="en-GB"/>
                              </w:rPr>
                              <m:t>0</m:t>
                            </m:r>
                          </m:sub>
                          <m:sup>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ADR</m:t>
                                </m:r>
                              </m:sub>
                            </m:sSub>
                          </m:sup>
                          <m:e>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ADR</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GB"/>
                          </w:rPr>
                          <m:t>)(</m:t>
                        </m:r>
                        <m:r>
                          <w:rPr>
                            <w:rFonts w:ascii="Cambria Math" w:hAnsi="Cambria Math"/>
                            <w:color w:val="0D0D0D"/>
                            <w:sz w:val="18"/>
                          </w:rPr>
                          <m:t>t</m:t>
                        </m:r>
                        <m:r>
                          <w:rPr>
                            <w:rFonts w:ascii="Cambria Math" w:hAnsi="Cambria Math"/>
                            <w:color w:val="0D0D0D"/>
                            <w:sz w:val="18"/>
                            <w:lang w:val="en-GB"/>
                          </w:rPr>
                          <m:t>)</m:t>
                        </m:r>
                        <m:r>
                          <w:rPr>
                            <w:rFonts w:ascii="Cambria Math" w:hAnsi="Cambria Math"/>
                            <w:color w:val="0D0D0D"/>
                            <w:sz w:val="18"/>
                          </w:rPr>
                          <m:t>dt</m:t>
                        </m:r>
                      </m:e>
                    </m:d>
                    <m:r>
                      <w:rPr>
                        <w:rFonts w:ascii="Cambria Math" w:hAnsi="Cambria Math"/>
                        <w:color w:val="0D0D0D"/>
                        <w:sz w:val="18"/>
                      </w:rPr>
                      <m:t xml:space="preserve"> </m:t>
                    </m:r>
                  </m:den>
                </m:f>
                <m:r>
                  <w:rPr>
                    <w:rFonts w:ascii="Cambria Math" w:hAnsi="Cambria Math"/>
                    <w:color w:val="0D0D0D"/>
                    <w:sz w:val="18"/>
                    <w:lang w:val="en-GB"/>
                  </w:rPr>
                  <m:t>=</m:t>
                </m:r>
                <m:f>
                  <m:fPr>
                    <m:ctrlPr>
                      <w:rPr>
                        <w:rFonts w:ascii="Cambria Math" w:hAnsi="Cambria Math"/>
                        <w:i/>
                        <w:color w:val="0D0D0D"/>
                        <w:sz w:val="18"/>
                      </w:rPr>
                    </m:ctrlPr>
                  </m:fPr>
                  <m:num>
                    <m:r>
                      <w:rPr>
                        <w:rFonts w:ascii="Cambria Math" w:hAnsi="Cambria Math"/>
                        <w:color w:val="0D0D0D"/>
                        <w:sz w:val="18"/>
                        <w:lang w:val="en-GB"/>
                      </w:rPr>
                      <m:t>"</m:t>
                    </m:r>
                    <m:r>
                      <w:rPr>
                        <w:rFonts w:ascii="Cambria Math" w:hAnsi="Cambria Math"/>
                        <w:color w:val="0D0D0D"/>
                        <w:sz w:val="18"/>
                      </w:rPr>
                      <m:t>rebound</m:t>
                    </m:r>
                    <m:r>
                      <w:rPr>
                        <w:rFonts w:ascii="Cambria Math" w:hAnsi="Cambria Math"/>
                        <w:color w:val="0D0D0D"/>
                        <w:sz w:val="18"/>
                        <w:lang w:val="en-GB"/>
                      </w:rPr>
                      <m:t>"</m:t>
                    </m:r>
                  </m:num>
                  <m:den>
                    <m:r>
                      <w:rPr>
                        <w:rFonts w:ascii="Cambria Math" w:hAnsi="Cambria Math"/>
                        <w:color w:val="0D0D0D"/>
                        <w:sz w:val="18"/>
                        <w:lang w:val="en-GB"/>
                      </w:rPr>
                      <m:t>"</m:t>
                    </m:r>
                    <m:r>
                      <w:rPr>
                        <w:rFonts w:ascii="Cambria Math" w:hAnsi="Cambria Math"/>
                        <w:color w:val="0D0D0D"/>
                        <w:sz w:val="18"/>
                      </w:rPr>
                      <m:t>ADR</m:t>
                    </m:r>
                    <m:r>
                      <w:rPr>
                        <w:rFonts w:ascii="Cambria Math" w:hAnsi="Cambria Math"/>
                        <w:color w:val="0D0D0D"/>
                        <w:sz w:val="18"/>
                        <w:lang w:val="en-GB"/>
                      </w:rPr>
                      <m:t xml:space="preserve"> </m:t>
                    </m:r>
                    <m:r>
                      <w:rPr>
                        <w:rFonts w:ascii="Cambria Math" w:hAnsi="Cambria Math"/>
                        <w:color w:val="0D0D0D"/>
                        <w:sz w:val="18"/>
                      </w:rPr>
                      <m:t>event</m:t>
                    </m:r>
                    <m:r>
                      <w:rPr>
                        <w:rFonts w:ascii="Cambria Math" w:hAnsi="Cambria Math"/>
                        <w:color w:val="0D0D0D"/>
                        <w:sz w:val="18"/>
                        <w:lang w:val="en-GB"/>
                      </w:rPr>
                      <m:t>"</m:t>
                    </m:r>
                  </m:den>
                </m:f>
              </m:oMath>
            </m:oMathPara>
          </w:p>
        </w:tc>
        <w:tc>
          <w:tcPr>
            <w:tcW w:w="5391" w:type="dxa"/>
            <w:vMerge/>
            <w:tcBorders>
              <w:top w:val="nil"/>
              <w:left w:val="nil"/>
              <w:bottom w:val="nil"/>
              <w:right w:val="nil"/>
            </w:tcBorders>
          </w:tcPr>
          <w:p w14:paraId="7C0B7E0B" w14:textId="77777777" w:rsidR="00CA7A69" w:rsidRPr="00CA7A69" w:rsidRDefault="00CA7A69" w:rsidP="00CA7A69">
            <w:pPr>
              <w:spacing w:line="360" w:lineRule="auto"/>
              <w:jc w:val="center"/>
              <w:rPr>
                <w:rFonts w:ascii="Palatino Linotype" w:hAnsi="Palatino Linotype"/>
                <w:color w:val="0D0D0D"/>
                <w:sz w:val="16"/>
                <w:szCs w:val="18"/>
                <w:lang w:val="en-GB"/>
              </w:rPr>
            </w:pPr>
          </w:p>
        </w:tc>
        <w:tc>
          <w:tcPr>
            <w:tcW w:w="1413" w:type="dxa"/>
            <w:tcBorders>
              <w:top w:val="nil"/>
              <w:left w:val="nil"/>
              <w:bottom w:val="nil"/>
              <w:right w:val="nil"/>
            </w:tcBorders>
            <w:vAlign w:val="center"/>
          </w:tcPr>
          <w:p w14:paraId="5FEF762A" w14:textId="51B92F9E" w:rsidR="00CA7A69" w:rsidRPr="00CA7A69" w:rsidRDefault="00CA7A69" w:rsidP="00CA7A69">
            <w:pPr>
              <w:spacing w:before="20" w:line="360" w:lineRule="auto"/>
              <w:jc w:val="center"/>
              <w:rPr>
                <w:color w:val="0D0D0D"/>
                <w:sz w:val="14"/>
                <w:szCs w:val="16"/>
                <w:lang w:val="en-GB"/>
              </w:rPr>
            </w:pPr>
            <w:r w:rsidRPr="00CA7A69">
              <w:rPr>
                <w:color w:val="0D0D0D"/>
                <w:sz w:val="14"/>
                <w:szCs w:val="16"/>
              </w:rPr>
              <w:fldChar w:fldCharType="begin" w:fldLock="1"/>
            </w:r>
            <w:r w:rsidR="001D3C8C">
              <w:rPr>
                <w:color w:val="0D0D0D"/>
                <w:sz w:val="14"/>
                <w:szCs w:val="16"/>
                <w:lang w:val="en-US"/>
              </w:rPr>
              <w:instrText>ADDIN CSL_CITATION {"citationItems":[{"id":"ITEM-1","itemData":{"ISBN":"9782921145886","abstract":"The representation of simulation results with regards to building energy flexibility is investigated. The chosen case study is a residential flat located in Spain, equipped with an air-to-water heat pump. From a reference simulation scenario, active demand response (ADR) events are implemented; they consist in modulating the heating set-point for a few hours. If the starting time of the ADR event is varied in time, the resulting simulations enable to produce daily profiles quantifying the different aspects of energy flexibility. Different representations of these profiles are proposed and discussed, combining the flexibility capacity and efficiency profiles, or representing different ADR configurations in a single graph. A high dependency of the flexibility profiles was observed with regards to the existing consumption profile and temperature setbacks. An ADR event of 2 hours with set-point modulation of ±1°C provides a maximum flexibility capacity of 9.4kWh upwards and -8.6kWh downwards","author":[{"dropping-particle":"","family":"Péan","given":"Thibault","non-dropping-particle":"","parse-names":false,"suffix":""},{"dropping-particle":"","family":"Torres","given":"Bismark","non-dropping-particle":"","parse-names":false,"suffix":""},{"dropping-particle":"","family":"Salom","given":"Jaume","non-dropping-particle":"","parse-names":false,"suffix":""},{"dropping-particle":"","family":"Ortiz","given":"Joana","non-dropping-particle":"","parse-names":false,"suffix":""}],"container-title":"eSim 2018, the 10th Conference of IBPSA-Canada","id":"ITEM-1","issue":"May","issued":{"date-parts":[["2018"]]},"page":"153-162","title":"Representation of daily profiles of building energy flexibility","type":"article-journal"},"uris":["http://www.mendeley.com/documents/?uuid=70a1fb97-7f55-45c9-8a7e-9195b4a131c3","http://www.mendeley.com/documents/?uuid=875a7afb-ac6a-4603-bf6d-cfcfb63a3c4d","http://www.mendeley.com/documents/?uuid=5c87ca16-8735-4ca5-8276-dd46141a567c","http://www.mendeley.com/documents/?uuid=930c1060-23bc-41fb-8ffd-40e9faa65c9e"]}],"mendeley":{"formattedCitation":"(Péan, Torres, et al., 2018)","plainTextFormattedCitation":"(Péan, Torres, et al., 2018)","previouslyFormattedCitation":"(Péan, Torres, et al. 2018)"},"properties":{"noteIndex":0},"schema":"https://github.com/citation-style-language/schema/raw/master/csl-citation.json"}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US"/>
              </w:rPr>
              <w:t>(Péan, Torres, et al., 2018)</w:t>
            </w:r>
            <w:r w:rsidRPr="00CA7A69">
              <w:rPr>
                <w:color w:val="0D0D0D"/>
                <w:sz w:val="14"/>
                <w:szCs w:val="16"/>
              </w:rPr>
              <w:fldChar w:fldCharType="end"/>
            </w:r>
          </w:p>
        </w:tc>
      </w:tr>
      <w:tr w:rsidR="00CA7A69" w:rsidRPr="00CA7A69" w14:paraId="3D49A1CE" w14:textId="77777777" w:rsidTr="00117EAB">
        <w:trPr>
          <w:trHeight w:val="478"/>
          <w:jc w:val="center"/>
        </w:trPr>
        <w:tc>
          <w:tcPr>
            <w:tcW w:w="546" w:type="dxa"/>
            <w:tcBorders>
              <w:top w:val="nil"/>
              <w:left w:val="nil"/>
              <w:bottom w:val="nil"/>
              <w:right w:val="nil"/>
            </w:tcBorders>
            <w:vAlign w:val="center"/>
          </w:tcPr>
          <w:p w14:paraId="6F542B5F" w14:textId="13D5192C" w:rsidR="00CA7A69" w:rsidRPr="00CA7A69" w:rsidRDefault="00911D01" w:rsidP="00CA7A69">
            <w:pPr>
              <w:spacing w:before="12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3.8</w:t>
            </w:r>
          </w:p>
        </w:tc>
        <w:tc>
          <w:tcPr>
            <w:tcW w:w="3024" w:type="dxa"/>
            <w:tcBorders>
              <w:top w:val="nil"/>
              <w:left w:val="nil"/>
              <w:bottom w:val="nil"/>
              <w:right w:val="nil"/>
            </w:tcBorders>
            <w:vAlign w:val="center"/>
          </w:tcPr>
          <w:p w14:paraId="0B10DB92" w14:textId="77777777" w:rsidR="00CA7A69" w:rsidRPr="00CA7A69" w:rsidRDefault="00CA7A69" w:rsidP="00CA7A69">
            <w:pPr>
              <w:spacing w:before="120" w:line="360" w:lineRule="auto"/>
              <w:jc w:val="center"/>
              <w:rPr>
                <w:rFonts w:ascii="Palatino Linotype" w:hAnsi="Palatino Linotype"/>
                <w:color w:val="0D0D0D"/>
                <w:sz w:val="16"/>
                <w:szCs w:val="18"/>
                <w:lang w:val="en-GB"/>
              </w:rPr>
            </w:pPr>
            <w:r w:rsidRPr="00CA7A69">
              <w:rPr>
                <w:rFonts w:ascii="Palatino Linotype" w:hAnsi="Palatino Linotype"/>
                <w:bCs/>
                <w:color w:val="0D0D0D"/>
                <w:sz w:val="16"/>
                <w:szCs w:val="18"/>
              </w:rPr>
              <w:t>Shifting efficiency (</w:t>
            </w:r>
            <m:oMath>
              <m:sSub>
                <m:sSubPr>
                  <m:ctrlPr>
                    <w:rPr>
                      <w:rFonts w:ascii="Cambria Math" w:hAnsi="Cambria Math"/>
                      <w:i/>
                      <w:color w:val="0D0D0D"/>
                      <w:sz w:val="16"/>
                      <w:szCs w:val="18"/>
                    </w:rPr>
                  </m:ctrlPr>
                </m:sSubPr>
                <m:e>
                  <m:r>
                    <m:rPr>
                      <m:sty m:val="p"/>
                    </m:rPr>
                    <w:rPr>
                      <w:rFonts w:ascii="Cambria Math" w:hAnsi="Cambria Math" w:cs="Cambria Math"/>
                      <w:color w:val="0D0D0D"/>
                      <w:sz w:val="16"/>
                      <w:szCs w:val="18"/>
                    </w:rPr>
                    <m:t>η</m:t>
                  </m:r>
                </m:e>
                <m:sub>
                  <m:r>
                    <w:rPr>
                      <w:rFonts w:ascii="Cambria Math" w:hAnsi="Cambria Math"/>
                      <w:color w:val="0D0D0D"/>
                      <w:sz w:val="16"/>
                      <w:szCs w:val="18"/>
                    </w:rPr>
                    <m:t>shift</m:t>
                  </m:r>
                </m:sub>
              </m:sSub>
              <m:r>
                <w:rPr>
                  <w:rFonts w:ascii="Cambria Math" w:hAnsi="Cambria Math"/>
                  <w:color w:val="0D0D0D"/>
                  <w:sz w:val="16"/>
                  <w:szCs w:val="18"/>
                </w:rPr>
                <m:t>)</m:t>
              </m:r>
            </m:oMath>
          </w:p>
        </w:tc>
        <w:tc>
          <w:tcPr>
            <w:tcW w:w="3964" w:type="dxa"/>
            <w:tcBorders>
              <w:top w:val="nil"/>
              <w:left w:val="nil"/>
              <w:bottom w:val="nil"/>
              <w:right w:val="nil"/>
            </w:tcBorders>
            <w:vAlign w:val="center"/>
          </w:tcPr>
          <w:p w14:paraId="20C41907" w14:textId="77777777" w:rsidR="00CA7A69" w:rsidRPr="00CA7A69" w:rsidRDefault="005B195F" w:rsidP="00CA7A69">
            <w:pPr>
              <w:spacing w:line="360" w:lineRule="auto"/>
              <w:jc w:val="center"/>
              <w:rPr>
                <w:rFonts w:eastAsia="Calibri"/>
                <w:color w:val="0D0D0D"/>
                <w:lang w:val="en-GB"/>
              </w:rPr>
            </w:pPr>
            <m:oMathPara>
              <m:oMath>
                <m:sSub>
                  <m:sSubPr>
                    <m:ctrlPr>
                      <w:rPr>
                        <w:rFonts w:ascii="Cambria Math" w:hAnsi="Cambria Math"/>
                        <w:i/>
                        <w:color w:val="0D0D0D"/>
                      </w:rPr>
                    </m:ctrlPr>
                  </m:sSubPr>
                  <m:e>
                    <m:r>
                      <m:rPr>
                        <m:sty m:val="p"/>
                      </m:rPr>
                      <w:rPr>
                        <w:rFonts w:ascii="Cambria Math" w:hAnsi="Cambria Math" w:cs="Cambria Math"/>
                        <w:color w:val="0D0D0D"/>
                      </w:rPr>
                      <m:t>η</m:t>
                    </m:r>
                  </m:e>
                  <m:sub>
                    <m:r>
                      <w:rPr>
                        <w:rFonts w:ascii="Cambria Math" w:hAnsi="Cambria Math"/>
                        <w:color w:val="0D0D0D"/>
                      </w:rPr>
                      <m:t>s</m:t>
                    </m:r>
                    <m:r>
                      <w:rPr>
                        <w:rFonts w:ascii="Cambria Math" w:hAnsi="Cambria Math"/>
                        <w:color w:val="0D0D0D"/>
                        <w:lang w:val="en-GB"/>
                      </w:rPr>
                      <m:t>h</m:t>
                    </m:r>
                    <m:r>
                      <w:rPr>
                        <w:rFonts w:ascii="Cambria Math" w:hAnsi="Cambria Math"/>
                        <w:color w:val="0D0D0D"/>
                      </w:rPr>
                      <m:t>ift</m:t>
                    </m:r>
                  </m:sub>
                </m:sSub>
                <m:r>
                  <w:rPr>
                    <w:rFonts w:ascii="Cambria Math" w:hAnsi="Cambria Math"/>
                    <w:color w:val="0D0D0D"/>
                    <w:lang w:val="en-GB"/>
                  </w:rPr>
                  <m:t>=</m:t>
                </m:r>
                <m:f>
                  <m:fPr>
                    <m:ctrlPr>
                      <w:rPr>
                        <w:rFonts w:ascii="Cambria Math" w:hAnsi="Cambria Math"/>
                        <w:i/>
                        <w:color w:val="0D0D0D"/>
                      </w:rPr>
                    </m:ctrlPr>
                  </m:fPr>
                  <m:num>
                    <m:r>
                      <w:rPr>
                        <w:rFonts w:ascii="Cambria Math" w:hAnsi="Cambria Math"/>
                        <w:color w:val="0D0D0D"/>
                        <w:lang w:val="en-GB"/>
                      </w:rPr>
                      <m:t>-</m:t>
                    </m:r>
                    <m:r>
                      <w:rPr>
                        <w:rFonts w:ascii="Cambria Math" w:hAnsi="Cambria Math"/>
                        <w:color w:val="0D0D0D"/>
                      </w:rPr>
                      <m:t>Δ</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lang w:val="en-GB"/>
                          </w:rPr>
                          <m:t>h</m:t>
                        </m:r>
                        <m:r>
                          <w:rPr>
                            <w:rFonts w:ascii="Cambria Math" w:hAnsi="Cambria Math"/>
                            <w:color w:val="0D0D0D"/>
                          </w:rPr>
                          <m:t>eat</m:t>
                        </m:r>
                        <m:r>
                          <w:rPr>
                            <w:rFonts w:ascii="Cambria Math" w:hAnsi="Cambria Math"/>
                            <w:color w:val="0D0D0D"/>
                            <w:lang w:val="en-GB"/>
                          </w:rPr>
                          <m:t xml:space="preserve"> </m:t>
                        </m:r>
                        <m:r>
                          <w:rPr>
                            <w:rFonts w:ascii="Cambria Math" w:hAnsi="Cambria Math"/>
                            <w:color w:val="0D0D0D"/>
                          </w:rPr>
                          <m:t>disc</m:t>
                        </m:r>
                        <m:r>
                          <w:rPr>
                            <w:rFonts w:ascii="Cambria Math" w:hAnsi="Cambria Math"/>
                            <w:color w:val="0D0D0D"/>
                            <w:lang w:val="en-GB"/>
                          </w:rPr>
                          <m:t>h</m:t>
                        </m:r>
                        <m:r>
                          <w:rPr>
                            <w:rFonts w:ascii="Cambria Math" w:hAnsi="Cambria Math"/>
                            <w:color w:val="0D0D0D"/>
                          </w:rPr>
                          <m:t>arged</m:t>
                        </m:r>
                      </m:sub>
                    </m:sSub>
                  </m:num>
                  <m:den>
                    <m:r>
                      <w:rPr>
                        <w:rFonts w:ascii="Cambria Math" w:hAnsi="Cambria Math"/>
                        <w:color w:val="0D0D0D"/>
                      </w:rPr>
                      <m:t>Δ</m:t>
                    </m:r>
                    <m:sSub>
                      <m:sSubPr>
                        <m:ctrlPr>
                          <w:rPr>
                            <w:rFonts w:ascii="Cambria Math" w:hAnsi="Cambria Math"/>
                            <w:i/>
                            <w:color w:val="0D0D0D"/>
                          </w:rPr>
                        </m:ctrlPr>
                      </m:sSubPr>
                      <m:e>
                        <m:r>
                          <w:rPr>
                            <w:rFonts w:ascii="Cambria Math" w:hAnsi="Cambria Math"/>
                            <w:color w:val="0D0D0D"/>
                          </w:rPr>
                          <m:t>l</m:t>
                        </m:r>
                      </m:e>
                      <m:sub>
                        <m:r>
                          <w:rPr>
                            <w:rFonts w:ascii="Cambria Math" w:hAnsi="Cambria Math"/>
                            <w:color w:val="0D0D0D"/>
                            <w:lang w:val="en-GB"/>
                          </w:rPr>
                          <m:t>h</m:t>
                        </m:r>
                        <m:r>
                          <w:rPr>
                            <w:rFonts w:ascii="Cambria Math" w:hAnsi="Cambria Math"/>
                            <w:color w:val="0D0D0D"/>
                          </w:rPr>
                          <m:t>eat</m:t>
                        </m:r>
                        <m:r>
                          <w:rPr>
                            <w:rFonts w:ascii="Cambria Math" w:hAnsi="Cambria Math"/>
                            <w:color w:val="0D0D0D"/>
                            <w:lang w:val="en-GB"/>
                          </w:rPr>
                          <m:t xml:space="preserve"> </m:t>
                        </m:r>
                        <m:r>
                          <w:rPr>
                            <w:rFonts w:ascii="Cambria Math" w:hAnsi="Cambria Math"/>
                            <w:color w:val="0D0D0D"/>
                          </w:rPr>
                          <m:t>c</m:t>
                        </m:r>
                        <m:r>
                          <w:rPr>
                            <w:rFonts w:ascii="Cambria Math" w:hAnsi="Cambria Math"/>
                            <w:color w:val="0D0D0D"/>
                            <w:lang w:val="en-GB"/>
                          </w:rPr>
                          <m:t>h</m:t>
                        </m:r>
                        <m:r>
                          <w:rPr>
                            <w:rFonts w:ascii="Cambria Math" w:hAnsi="Cambria Math"/>
                            <w:color w:val="0D0D0D"/>
                          </w:rPr>
                          <m:t>arged</m:t>
                        </m:r>
                      </m:sub>
                    </m:sSub>
                  </m:den>
                </m:f>
              </m:oMath>
            </m:oMathPara>
          </w:p>
        </w:tc>
        <w:tc>
          <w:tcPr>
            <w:tcW w:w="5391" w:type="dxa"/>
            <w:tcBorders>
              <w:top w:val="nil"/>
              <w:left w:val="nil"/>
              <w:bottom w:val="nil"/>
              <w:right w:val="nil"/>
            </w:tcBorders>
          </w:tcPr>
          <w:p w14:paraId="1E00E2BC" w14:textId="77777777" w:rsidR="00CA7A69" w:rsidRPr="00CA7A69" w:rsidRDefault="00CA7A69" w:rsidP="00CA7A69">
            <w:pPr>
              <w:spacing w:line="360" w:lineRule="auto"/>
              <w:ind w:right="170"/>
              <w:jc w:val="center"/>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m:oMath>
              <m:r>
                <w:rPr>
                  <w:rFonts w:ascii="Cambria Math" w:hAnsi="Cambria Math"/>
                  <w:color w:val="0D0D0D"/>
                  <w:sz w:val="16"/>
                  <w:szCs w:val="18"/>
                  <w:lang w:val="en-GB"/>
                </w:rPr>
                <m:t xml:space="preserve"> </m:t>
              </m:r>
              <m:r>
                <w:rPr>
                  <w:rFonts w:ascii="Cambria Math" w:hAnsi="Cambria Math"/>
                  <w:color w:val="0D0D0D"/>
                  <w:sz w:val="16"/>
                  <w:szCs w:val="18"/>
                </w:rPr>
                <m:t>Δ</m:t>
              </m:r>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lang w:val="en-GB"/>
                    </w:rPr>
                    <m:t>h</m:t>
                  </m:r>
                  <m:r>
                    <w:rPr>
                      <w:rFonts w:ascii="Cambria Math" w:hAnsi="Cambria Math"/>
                      <w:color w:val="0D0D0D"/>
                      <w:sz w:val="16"/>
                      <w:szCs w:val="18"/>
                    </w:rPr>
                    <m:t>eat</m:t>
                  </m:r>
                  <m:r>
                    <w:rPr>
                      <w:rFonts w:ascii="Cambria Math" w:hAnsi="Cambria Math"/>
                      <w:color w:val="0D0D0D"/>
                      <w:sz w:val="16"/>
                      <w:szCs w:val="18"/>
                      <w:lang w:val="en-GB"/>
                    </w:rPr>
                    <m:t xml:space="preserve"> </m:t>
                  </m:r>
                  <m:r>
                    <w:rPr>
                      <w:rFonts w:ascii="Cambria Math" w:hAnsi="Cambria Math"/>
                      <w:color w:val="0D0D0D"/>
                      <w:sz w:val="16"/>
                      <w:szCs w:val="18"/>
                    </w:rPr>
                    <m:t>c</m:t>
                  </m:r>
                  <m:r>
                    <w:rPr>
                      <w:rFonts w:ascii="Cambria Math" w:hAnsi="Cambria Math"/>
                      <w:color w:val="0D0D0D"/>
                      <w:sz w:val="16"/>
                      <w:szCs w:val="18"/>
                      <w:lang w:val="en-GB"/>
                    </w:rPr>
                    <m:t>h</m:t>
                  </m:r>
                  <m:r>
                    <w:rPr>
                      <w:rFonts w:ascii="Cambria Math" w:hAnsi="Cambria Math"/>
                      <w:color w:val="0D0D0D"/>
                      <w:sz w:val="16"/>
                      <w:szCs w:val="18"/>
                    </w:rPr>
                    <m:t>arged</m:t>
                  </m:r>
                </m:sub>
              </m:sSub>
              <m:r>
                <w:rPr>
                  <w:rFonts w:ascii="Cambria Math" w:hAnsi="Cambria Math"/>
                  <w:color w:val="0D0D0D"/>
                  <w:sz w:val="16"/>
                  <w:szCs w:val="18"/>
                  <w:lang w:val="en-GB"/>
                </w:rPr>
                <m:t xml:space="preserve">: </m:t>
              </m:r>
            </m:oMath>
            <w:r w:rsidRPr="00CA7A69">
              <w:rPr>
                <w:rFonts w:ascii="Palatino Linotype" w:hAnsi="Palatino Linotype"/>
                <w:color w:val="0D0D0D"/>
                <w:sz w:val="16"/>
                <w:szCs w:val="18"/>
                <w:lang w:val="en-GB"/>
              </w:rPr>
              <w:t>“Heat charged”. Increased energy consumption in the ADR event compared to the ref.</w:t>
            </w:r>
          </w:p>
          <w:p w14:paraId="2306FAD3" w14:textId="77777777" w:rsidR="00CA7A69" w:rsidRPr="00CA7A69" w:rsidRDefault="00CA7A69" w:rsidP="00CA7A69">
            <w:pPr>
              <w:spacing w:line="360" w:lineRule="auto"/>
              <w:ind w:right="170"/>
              <w:jc w:val="center"/>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m:oMath>
              <m:r>
                <w:rPr>
                  <w:rFonts w:ascii="Cambria Math" w:hAnsi="Cambria Math"/>
                  <w:color w:val="0D0D0D"/>
                  <w:sz w:val="16"/>
                  <w:szCs w:val="18"/>
                  <w:lang w:val="en-GB"/>
                </w:rPr>
                <m:t xml:space="preserve"> </m:t>
              </m:r>
              <m:r>
                <w:rPr>
                  <w:rFonts w:ascii="Cambria Math" w:hAnsi="Cambria Math"/>
                  <w:color w:val="0D0D0D"/>
                  <w:sz w:val="16"/>
                  <w:szCs w:val="18"/>
                </w:rPr>
                <m:t>Δ</m:t>
              </m:r>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lang w:val="en-GB"/>
                    </w:rPr>
                    <m:t>h</m:t>
                  </m:r>
                  <m:r>
                    <w:rPr>
                      <w:rFonts w:ascii="Cambria Math" w:hAnsi="Cambria Math"/>
                      <w:color w:val="0D0D0D"/>
                      <w:sz w:val="16"/>
                      <w:szCs w:val="18"/>
                    </w:rPr>
                    <m:t>eat</m:t>
                  </m:r>
                  <m:r>
                    <w:rPr>
                      <w:rFonts w:ascii="Cambria Math" w:hAnsi="Cambria Math"/>
                      <w:color w:val="0D0D0D"/>
                      <w:sz w:val="16"/>
                      <w:szCs w:val="18"/>
                      <w:lang w:val="en-GB"/>
                    </w:rPr>
                    <m:t xml:space="preserve"> dis</m:t>
                  </m:r>
                  <m:r>
                    <w:rPr>
                      <w:rFonts w:ascii="Cambria Math" w:hAnsi="Cambria Math"/>
                      <w:color w:val="0D0D0D"/>
                      <w:sz w:val="16"/>
                      <w:szCs w:val="18"/>
                    </w:rPr>
                    <m:t>c</m:t>
                  </m:r>
                  <m:r>
                    <w:rPr>
                      <w:rFonts w:ascii="Cambria Math" w:hAnsi="Cambria Math"/>
                      <w:color w:val="0D0D0D"/>
                      <w:sz w:val="16"/>
                      <w:szCs w:val="18"/>
                      <w:lang w:val="en-GB"/>
                    </w:rPr>
                    <m:t>h</m:t>
                  </m:r>
                  <m:r>
                    <w:rPr>
                      <w:rFonts w:ascii="Cambria Math" w:hAnsi="Cambria Math"/>
                      <w:color w:val="0D0D0D"/>
                      <w:sz w:val="16"/>
                      <w:szCs w:val="18"/>
                    </w:rPr>
                    <m:t>arged</m:t>
                  </m:r>
                </m:sub>
              </m:sSub>
              <m:r>
                <w:rPr>
                  <w:rFonts w:ascii="Cambria Math" w:hAnsi="Cambria Math"/>
                  <w:color w:val="0D0D0D"/>
                  <w:sz w:val="16"/>
                  <w:szCs w:val="18"/>
                  <w:lang w:val="en-GB"/>
                </w:rPr>
                <m:t xml:space="preserve">: </m:t>
              </m:r>
            </m:oMath>
            <w:r w:rsidRPr="00CA7A69">
              <w:rPr>
                <w:rFonts w:ascii="Palatino Linotype" w:hAnsi="Palatino Linotype"/>
                <w:color w:val="0D0D0D"/>
                <w:sz w:val="16"/>
                <w:szCs w:val="18"/>
                <w:lang w:val="en-GB"/>
              </w:rPr>
              <w:t>“Discharged heat”. Decrease in energy consumption in the ADR event compared to the ref.</w:t>
            </w:r>
          </w:p>
        </w:tc>
        <w:tc>
          <w:tcPr>
            <w:tcW w:w="1413" w:type="dxa"/>
            <w:tcBorders>
              <w:top w:val="nil"/>
              <w:left w:val="nil"/>
              <w:bottom w:val="nil"/>
              <w:right w:val="nil"/>
            </w:tcBorders>
            <w:vAlign w:val="center"/>
          </w:tcPr>
          <w:p w14:paraId="5DD130CA" w14:textId="4A67771E" w:rsidR="00CA7A69" w:rsidRPr="00CA7A69" w:rsidRDefault="00CA7A69" w:rsidP="00CA7A69">
            <w:pPr>
              <w:spacing w:before="20" w:line="360" w:lineRule="auto"/>
              <w:jc w:val="center"/>
              <w:rPr>
                <w:color w:val="0D0D0D"/>
                <w:sz w:val="14"/>
                <w:szCs w:val="16"/>
                <w:lang w:val="en-GB"/>
              </w:rPr>
            </w:pPr>
            <w:r w:rsidRPr="00CA7A69">
              <w:rPr>
                <w:color w:val="0D0D0D"/>
                <w:sz w:val="14"/>
                <w:szCs w:val="16"/>
              </w:rPr>
              <w:fldChar w:fldCharType="begin" w:fldLock="1"/>
            </w:r>
            <w:r w:rsidR="001D3C8C">
              <w:rPr>
                <w:color w:val="0D0D0D"/>
                <w:sz w:val="14"/>
                <w:szCs w:val="16"/>
              </w:rPr>
              <w:instrText>ADDIN CSL_CITATION {"citationItems":[{"id":"ITEM-1","itemData":{"DOI":"10.1016/j.energy.2016.05.076","ISSN":"03605442","abstract":"The objective of this study is to assess the potential of buildings to modulate the heating power and define simple control strategies to exploit the flexibility potential considering both energy and thermal comfort. Two residential buildings with different levels of insulation and air-tightness have been modelled. This wide range of thermal properties covers the global performance of the residential building stock, and does not only focus on state-of-the-art buildings. Two strategies of modulation have been investigated: heat storage (i.e. increase of set-point) and heat conservation (i.e. decrease of set-point). Additionally, the effect of the time of activation and the type of emitter (radiator or underfloor heating) has been evaluated.A better understanding of the dynamic behaviour of buildings has been achieved in this paper. Contrary to other storage solutions (e.g. battery, hot water tank), the modulation potential of the thermal mass depends on several factors (level of insulation, type of emitter, etc) and varies over time (cold vs. transition season). The autonomy of a poorly-insulated building is relatively short, whereas passive houses have a long time constant. This characteristic implies differences in the control strategy to make use of the flexibility potential without violating comfort.","author":[{"dropping-particle":"","family":"Dréau","given":"J.","non-dropping-particle":"Le","parse-names":false,"suffix":""},{"dropping-particle":"","family":"Heiselberg","given":"P.","non-dropping-particle":"","parse-names":false,"suffix":""}],"container-title":"Energy","id":"ITEM-1","issued":{"date-parts":[["2016"]]},"page":"991-1002","title":"Energy flexibility of residential buildings using short term heat storage in the thermal mass","type":"article-journal","volume":"111"},"uris":["http://www.mendeley.com/documents/?uuid=1a43d0db-7d0d-4cb0-a0e2-5f411712833e","http://www.mendeley.com/documents/?uuid=f8e5a8e8-3eb5-43a6-8402-df5c2555737a","http://www.mendeley.com/documents/?uuid=11b0afac-d60c-4e9a-bb9b-2d2c89a4cad8"]}],"mendeley":{"formattedCitation":"(Le Dréau &amp; Heiselberg, 2016)","plainTextFormattedCitation":"(Le Dréau &amp; Heiselberg, 2016)","previouslyFormattedCitation":"(Le Dréau and Heiselberg 2016)"},"properties":{"noteIndex":0},"schema":"https://github.com/citation-style-language/schema/raw/master/csl-citation.json"}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(Le Dréau &amp; Heiselberg, 2016)</w:t>
            </w:r>
            <w:r w:rsidRPr="00CA7A69">
              <w:rPr>
                <w:color w:val="0D0D0D"/>
                <w:sz w:val="14"/>
                <w:szCs w:val="16"/>
              </w:rPr>
              <w:fldChar w:fldCharType="end"/>
            </w:r>
          </w:p>
        </w:tc>
      </w:tr>
      <w:tr w:rsidR="00CA7A69" w:rsidRPr="00CA7A69" w14:paraId="7D177B1D" w14:textId="77777777" w:rsidTr="00117EAB">
        <w:trPr>
          <w:trHeight w:val="478"/>
          <w:jc w:val="center"/>
        </w:trPr>
        <w:tc>
          <w:tcPr>
            <w:tcW w:w="546" w:type="dxa"/>
            <w:tcBorders>
              <w:top w:val="nil"/>
              <w:left w:val="nil"/>
              <w:bottom w:val="single" w:sz="4" w:space="0" w:color="auto"/>
              <w:right w:val="nil"/>
            </w:tcBorders>
            <w:vAlign w:val="center"/>
          </w:tcPr>
          <w:p w14:paraId="4CD12F4E" w14:textId="5A1D001D" w:rsidR="00CA7A69" w:rsidRPr="00CA7A69" w:rsidRDefault="00963DC1"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3.7</w:t>
            </w:r>
          </w:p>
        </w:tc>
        <w:tc>
          <w:tcPr>
            <w:tcW w:w="3024" w:type="dxa"/>
            <w:tcBorders>
              <w:top w:val="nil"/>
              <w:left w:val="nil"/>
              <w:bottom w:val="single" w:sz="4" w:space="0" w:color="auto"/>
              <w:right w:val="nil"/>
            </w:tcBorders>
            <w:vAlign w:val="center"/>
          </w:tcPr>
          <w:p w14:paraId="1010AA84" w14:textId="540C4E68" w:rsidR="00CA7A69" w:rsidRPr="00CA7A69" w:rsidRDefault="00CA7A69" w:rsidP="00CA7A69">
            <w:pPr>
              <w:spacing w:before="6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US"/>
              </w:rPr>
              <w:t xml:space="preserve">Power shifting </w:t>
            </w:r>
            <w:r w:rsidR="000A1E0F" w:rsidRPr="00CA7A69">
              <w:rPr>
                <w:rFonts w:ascii="Palatino Linotype" w:hAnsi="Palatino Linotype"/>
                <w:bCs/>
                <w:color w:val="0D0D0D"/>
                <w:sz w:val="16"/>
                <w:szCs w:val="18"/>
                <w:lang w:val="en-US"/>
              </w:rPr>
              <w:t>capability</w:t>
            </w:r>
            <w:r w:rsidRPr="00CA7A69">
              <w:rPr>
                <w:rFonts w:ascii="Palatino Linotype" w:hAnsi="Palatino Linotype"/>
                <w:bCs/>
                <w:color w:val="0D0D0D"/>
                <w:sz w:val="16"/>
                <w:szCs w:val="18"/>
                <w:lang w:val="en-US"/>
              </w:rPr>
              <w:t xml:space="preserve"> (</w:t>
            </w:r>
            <m:oMath>
              <m:sSub>
                <m:sSubPr>
                  <m:ctrlPr>
                    <w:rPr>
                      <w:rFonts w:ascii="Cambria Math" w:hAnsi="Cambria Math"/>
                      <w:i/>
                      <w:color w:val="0D0D0D"/>
                      <w:sz w:val="16"/>
                      <w:szCs w:val="18"/>
                    </w:rPr>
                  </m:ctrlPr>
                </m:sSubPr>
                <m:e>
                  <m:r>
                    <m:rPr>
                      <m:sty m:val="p"/>
                    </m:rPr>
                    <w:rPr>
                      <w:rFonts w:ascii="Cambria Math" w:hAnsi="Cambria Math" w:cs="Cambria Math"/>
                      <w:color w:val="0D0D0D"/>
                      <w:sz w:val="16"/>
                      <w:szCs w:val="18"/>
                      <w:lang w:val="en-US"/>
                    </w:rPr>
                    <m:t>l</m:t>
                  </m:r>
                </m:e>
                <m:sub>
                  <m:r>
                    <w:rPr>
                      <w:rFonts w:ascii="Cambria Math" w:hAnsi="Cambria Math"/>
                      <w:color w:val="0D0D0D"/>
                      <w:sz w:val="16"/>
                      <w:szCs w:val="18"/>
                    </w:rPr>
                    <m:t>s</m:t>
                  </m:r>
                  <m:r>
                    <w:rPr>
                      <w:rFonts w:ascii="Cambria Math" w:hAnsi="Cambria Math"/>
                      <w:color w:val="0D0D0D"/>
                      <w:sz w:val="16"/>
                      <w:szCs w:val="18"/>
                      <w:lang w:val="en-US"/>
                    </w:rPr>
                    <m:t>h</m:t>
                  </m:r>
                  <m:r>
                    <w:rPr>
                      <w:rFonts w:ascii="Cambria Math" w:hAnsi="Cambria Math"/>
                      <w:color w:val="0D0D0D"/>
                      <w:sz w:val="16"/>
                      <w:szCs w:val="18"/>
                    </w:rPr>
                    <m:t>ift</m:t>
                  </m:r>
                </m:sub>
              </m:sSub>
              <m:r>
                <w:rPr>
                  <w:rFonts w:ascii="Cambria Math" w:hAnsi="Cambria Math"/>
                  <w:color w:val="0D0D0D"/>
                  <w:sz w:val="16"/>
                  <w:szCs w:val="18"/>
                  <w:lang w:val="en-US"/>
                </w:rPr>
                <m:t>)</m:t>
              </m:r>
            </m:oMath>
          </w:p>
        </w:tc>
        <w:tc>
          <w:tcPr>
            <w:tcW w:w="3964" w:type="dxa"/>
            <w:tcBorders>
              <w:top w:val="nil"/>
              <w:left w:val="nil"/>
              <w:bottom w:val="single" w:sz="4" w:space="0" w:color="auto"/>
              <w:right w:val="nil"/>
            </w:tcBorders>
            <w:vAlign w:val="center"/>
          </w:tcPr>
          <w:p w14:paraId="6A6A41FF" w14:textId="77777777" w:rsidR="00CA7A69" w:rsidRPr="00CA7A69" w:rsidRDefault="005B195F" w:rsidP="00CA7A69">
            <w:pPr>
              <w:spacing w:line="360" w:lineRule="auto"/>
              <w:jc w:val="center"/>
              <w:rPr>
                <w:rFonts w:eastAsia="Calibri"/>
                <w:i/>
                <w:color w:val="0D0D0D"/>
                <w:sz w:val="18"/>
                <w:lang w:val="en-GB"/>
              </w:rPr>
            </w:pPr>
            <m:oMathPara>
              <m:oMath>
                <m:sSub>
                  <m:sSubPr>
                    <m:ctrlPr>
                      <w:rPr>
                        <w:rFonts w:ascii="Cambria Math" w:hAnsi="Cambria Math"/>
                        <w:i/>
                        <w:color w:val="0D0D0D"/>
                        <w:sz w:val="18"/>
                      </w:rPr>
                    </m:ctrlPr>
                  </m:sSubPr>
                  <m:e>
                    <m:r>
                      <w:rPr>
                        <w:rFonts w:ascii="Cambria Math" w:hAnsi="Cambria Math" w:cs="Cambria Math"/>
                        <w:color w:val="0D0D0D"/>
                        <w:sz w:val="18"/>
                        <w:lang w:val="en-US"/>
                      </w:rPr>
                      <m:t>l</m:t>
                    </m:r>
                  </m:e>
                  <m:sub>
                    <m:r>
                      <w:rPr>
                        <w:rFonts w:ascii="Cambria Math" w:hAnsi="Cambria Math"/>
                        <w:color w:val="0D0D0D"/>
                        <w:sz w:val="18"/>
                      </w:rPr>
                      <m:t>s</m:t>
                    </m:r>
                    <m:r>
                      <w:rPr>
                        <w:rFonts w:ascii="Cambria Math" w:hAnsi="Cambria Math"/>
                        <w:color w:val="0D0D0D"/>
                        <w:sz w:val="18"/>
                        <w:lang w:val="en-US"/>
                      </w:rPr>
                      <m:t>h</m:t>
                    </m:r>
                    <m:r>
                      <w:rPr>
                        <w:rFonts w:ascii="Cambria Math" w:hAnsi="Cambria Math"/>
                        <w:color w:val="0D0D0D"/>
                        <w:sz w:val="18"/>
                      </w:rPr>
                      <m:t>ift</m:t>
                    </m:r>
                  </m:sub>
                </m:sSub>
                <m:r>
                  <w:rPr>
                    <w:rFonts w:ascii="Cambria Math" w:hAnsi="Cambria Math"/>
                    <w:color w:val="0D0D0D"/>
                    <w:sz w:val="18"/>
                    <w:lang w:val="en-US"/>
                  </w:rPr>
                  <m:t>=</m:t>
                </m:r>
                <m:sSub>
                  <m:sSubPr>
                    <m:ctrlPr>
                      <w:rPr>
                        <w:rFonts w:ascii="Cambria Math" w:hAnsi="Cambria Math"/>
                        <w:i/>
                        <w:color w:val="0D0D0D"/>
                        <w:sz w:val="18"/>
                      </w:rPr>
                    </m:ctrlPr>
                  </m:sSubPr>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ADR</m:t>
                        </m:r>
                      </m:sub>
                    </m:sSub>
                    <m:r>
                      <w:rPr>
                        <w:rFonts w:ascii="Cambria Math" w:hAnsi="Cambria Math"/>
                        <w:color w:val="0D0D0D"/>
                        <w:sz w:val="18"/>
                        <w:lang w:val="en-US"/>
                      </w:rPr>
                      <m:t>-</m:t>
                    </m:r>
                    <m:r>
                      <w:rPr>
                        <w:rFonts w:ascii="Cambria Math" w:hAnsi="Cambria Math"/>
                        <w:color w:val="0D0D0D"/>
                        <w:sz w:val="18"/>
                      </w:rPr>
                      <m:t>l</m:t>
                    </m:r>
                  </m:e>
                  <m:sub>
                    <m:r>
                      <w:rPr>
                        <w:rFonts w:ascii="Cambria Math" w:hAnsi="Cambria Math"/>
                        <w:color w:val="0D0D0D"/>
                        <w:sz w:val="18"/>
                      </w:rPr>
                      <m:t>ref</m:t>
                    </m:r>
                  </m:sub>
                </m:sSub>
              </m:oMath>
            </m:oMathPara>
          </w:p>
        </w:tc>
        <w:tc>
          <w:tcPr>
            <w:tcW w:w="5391" w:type="dxa"/>
            <w:tcBorders>
              <w:top w:val="nil"/>
              <w:left w:val="nil"/>
              <w:bottom w:val="single" w:sz="4" w:space="0" w:color="auto"/>
              <w:right w:val="nil"/>
            </w:tcBorders>
          </w:tcPr>
          <w:p w14:paraId="0972CEBF" w14:textId="77777777" w:rsidR="00CA7A69" w:rsidRPr="00CA7A69" w:rsidRDefault="00CA7A69" w:rsidP="00CA7A69">
            <w:pPr>
              <w:spacing w:line="360" w:lineRule="auto"/>
              <w:jc w:val="both"/>
              <w:rPr>
                <w:rFonts w:ascii="Palatino Linotype" w:hAnsi="Palatino Linotype"/>
                <w:color w:val="0D0D0D"/>
                <w:sz w:val="16"/>
                <w:szCs w:val="18"/>
                <w:lang w:val="en-GB"/>
              </w:rPr>
            </w:pPr>
          </w:p>
        </w:tc>
        <w:tc>
          <w:tcPr>
            <w:tcW w:w="1413" w:type="dxa"/>
            <w:tcBorders>
              <w:top w:val="nil"/>
              <w:left w:val="nil"/>
              <w:bottom w:val="single" w:sz="4" w:space="0" w:color="auto"/>
              <w:right w:val="nil"/>
            </w:tcBorders>
            <w:vAlign w:val="center"/>
          </w:tcPr>
          <w:p w14:paraId="14723993" w14:textId="43B9D5E3" w:rsidR="00CA7A69" w:rsidRPr="00CA7A69" w:rsidRDefault="00CA7A69" w:rsidP="00CA7A69">
            <w:pPr>
              <w:spacing w:before="20" w:line="360" w:lineRule="auto"/>
              <w:jc w:val="both"/>
              <w:rPr>
                <w:color w:val="0D0D0D"/>
                <w:sz w:val="14"/>
                <w:szCs w:val="16"/>
              </w:rPr>
            </w:pPr>
            <w:r w:rsidRPr="00CA7A69">
              <w:rPr>
                <w:color w:val="0D0D0D"/>
                <w:sz w:val="14"/>
                <w:szCs w:val="16"/>
              </w:rPr>
              <w:fldChar w:fldCharType="begin" w:fldLock="1"/>
            </w:r>
            <w:r w:rsidR="001D3C8C">
              <w:rPr>
                <w:color w:val="0D0D0D"/>
                <w:sz w:val="14"/>
                <w:szCs w:val="16"/>
              </w:rPr>
              <w:instrText>ADDIN CSL_CITATION {"citationItems":[{"id":"ITEM-1","itemData":{"abstract":"Active demand response (ADR) using the thermal mass of buildings is often suggested as a key technology to enable the transition to a sustainable energy market. Nevertheless, a generic method to quantify the ADR potential of structural thermal energy storage and that enables a comparison with other buildings or even different storage technologies, is currently missing. In this paper, the available storage capacity, efficiency of the storage process and power shifting capability are defined and demonstrated as key performance indicators for the ADR potential of structural storage. Building energy simulations are used to quantify these indicators as function of building design parameters, showing that the ADR potential mainly depends on the heat loss coefficient and available thermal mass. Moreover, it is shown that the efficiency and the available storage capacity are not constant but depend on the dynamic boundary conditions.a.","author":[{"dropping-particle":"","family":"Reynders","given":"G.","non-dropping-particle":"","parse-names":false,"suffix":""},{"dropping-particle":"","family":"Diriken","given":"J.","non-dropping-particle":"","parse-names":false,"suffix":""},{"dropping-particle":"","family":"Saelens","given":"D.","non-dropping-particle":"","parse-names":false,"suffix":""}],"container-title":"14th International Conference of IBPSA - Building Simulation 2015, BS 2015, Conference Proceedings","id":"ITEM-1","issued":{"date-parts":[["2015"]]},"page":"1986-1993","title":"A generic quantification method for the active demand response potential of structural storage in buildings","type":"article-journal"},"uris":["http://www.mendeley.com/documents/?uuid=f131047a-9c6b-4da9-9c2d-259b416350d4","http://www.mendeley.com/documents/?uuid=a5f1ad5f-18e5-4887-8522-5f126a4d8dfc","http://www.mendeley.com/documents/?uuid=49b96969-efe5-476b-8665-81bbe44fce0e"]}],"mendeley":{"formattedCitation":"(Reynders et al., 2015)","plainTextFormattedCitation":"(Reynders et al., 2015)","previouslyFormattedCitation":"(Reynders et al. 2015)"},"properties":{"noteIndex":0},"schema":"https://github.com/citation-style-language/schema/raw/master/csl-citation.json"}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(Reynders et al., 2015)</w:t>
            </w:r>
            <w:r w:rsidRPr="00CA7A69">
              <w:rPr>
                <w:color w:val="0D0D0D"/>
                <w:sz w:val="14"/>
                <w:szCs w:val="16"/>
              </w:rPr>
              <w:fldChar w:fldCharType="end"/>
            </w:r>
          </w:p>
        </w:tc>
      </w:tr>
      <w:tr w:rsidR="00CA7A69" w:rsidRPr="00CA7A69" w14:paraId="68F1056F" w14:textId="77777777" w:rsidTr="00117EAB">
        <w:trPr>
          <w:trHeight w:val="478"/>
          <w:jc w:val="center"/>
        </w:trPr>
        <w:tc>
          <w:tcPr>
            <w:tcW w:w="546" w:type="dxa"/>
            <w:tcBorders>
              <w:top w:val="single" w:sz="4" w:space="0" w:color="auto"/>
              <w:left w:val="nil"/>
              <w:bottom w:val="nil"/>
              <w:right w:val="nil"/>
            </w:tcBorders>
            <w:vAlign w:val="center"/>
          </w:tcPr>
          <w:p w14:paraId="5F19CF27" w14:textId="7D6718D6" w:rsidR="00CA7A69" w:rsidRPr="00CA7A69" w:rsidRDefault="008D4307"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3</w:t>
            </w:r>
            <w:r w:rsidR="00CA7A69" w:rsidRPr="00CA7A69">
              <w:rPr>
                <w:rFonts w:ascii="Palatino Linotype" w:hAnsi="Palatino Linotype"/>
                <w:color w:val="0D0D0D"/>
                <w:sz w:val="14"/>
                <w:szCs w:val="16"/>
                <w:lang w:val="en-GB"/>
              </w:rPr>
              <w:t>.1</w:t>
            </w:r>
          </w:p>
        </w:tc>
        <w:tc>
          <w:tcPr>
            <w:tcW w:w="3024" w:type="dxa"/>
            <w:tcBorders>
              <w:top w:val="single" w:sz="4" w:space="0" w:color="auto"/>
              <w:left w:val="nil"/>
              <w:bottom w:val="nil"/>
              <w:right w:val="nil"/>
            </w:tcBorders>
            <w:vAlign w:val="center"/>
          </w:tcPr>
          <w:p w14:paraId="7C2D0107" w14:textId="77777777" w:rsidR="00CA7A69" w:rsidRPr="00CA7A69" w:rsidRDefault="00CA7A69" w:rsidP="00CA7A69">
            <w:pPr>
              <w:spacing w:before="60" w:line="360" w:lineRule="auto"/>
              <w:jc w:val="center"/>
              <w:rPr>
                <w:rFonts w:ascii="Palatino Linotype" w:hAnsi="Palatino Linotype"/>
                <w:bCs/>
                <w:color w:val="0D0D0D"/>
                <w:sz w:val="16"/>
                <w:szCs w:val="18"/>
                <w:lang w:val="en-US"/>
              </w:rPr>
            </w:pPr>
            <w:r w:rsidRPr="00CA7A69">
              <w:rPr>
                <w:rFonts w:ascii="Palatino Linotype" w:hAnsi="Palatino Linotype"/>
                <w:bCs/>
                <w:color w:val="0D0D0D"/>
                <w:sz w:val="16"/>
                <w:szCs w:val="18"/>
              </w:rPr>
              <w:t>Added energy (</w:t>
            </w:r>
            <m:oMath>
              <m:sSub>
                <m:sSubPr>
                  <m:ctrlPr>
                    <w:rPr>
                      <w:rFonts w:ascii="Cambria Math" w:hAnsi="Cambria Math"/>
                      <w:i/>
                      <w:color w:val="0D0D0D"/>
                      <w:sz w:val="16"/>
                      <w:szCs w:val="18"/>
                    </w:rPr>
                  </m:ctrlPr>
                </m:sSubPr>
                <m:e>
                  <m:r>
                    <m:rPr>
                      <m:sty m:val="p"/>
                    </m:rPr>
                    <w:rPr>
                      <w:rFonts w:ascii="Cambria Math" w:hAnsi="Cambria Math"/>
                      <w:color w:val="0D0D0D"/>
                      <w:sz w:val="16"/>
                      <w:szCs w:val="18"/>
                    </w:rPr>
                    <m:t>Q</m:t>
                  </m:r>
                </m:e>
                <m:sub>
                  <m:r>
                    <w:rPr>
                      <w:rFonts w:ascii="Cambria Math" w:hAnsi="Cambria Math"/>
                      <w:color w:val="0D0D0D"/>
                      <w:sz w:val="16"/>
                      <w:szCs w:val="18"/>
                    </w:rPr>
                    <m:t>added</m:t>
                  </m:r>
                </m:sub>
              </m:sSub>
            </m:oMath>
            <w:r w:rsidRPr="00CA7A69">
              <w:rPr>
                <w:rFonts w:ascii="Palatino Linotype" w:hAnsi="Palatino Linotype"/>
                <w:bCs/>
                <w:color w:val="0D0D0D"/>
                <w:sz w:val="16"/>
                <w:szCs w:val="18"/>
              </w:rPr>
              <w:t>)</w:t>
            </w:r>
          </w:p>
        </w:tc>
        <w:tc>
          <w:tcPr>
            <w:tcW w:w="3964" w:type="dxa"/>
            <w:tcBorders>
              <w:top w:val="single" w:sz="4" w:space="0" w:color="auto"/>
              <w:left w:val="nil"/>
              <w:bottom w:val="nil"/>
              <w:right w:val="nil"/>
            </w:tcBorders>
            <w:vAlign w:val="center"/>
          </w:tcPr>
          <w:p w14:paraId="658D5F07" w14:textId="77777777" w:rsidR="00CA7A69" w:rsidRPr="00CA7A69" w:rsidRDefault="005B195F" w:rsidP="00CA7A69">
            <w:pPr>
              <w:spacing w:before="20" w:line="360" w:lineRule="auto"/>
              <w:jc w:val="center"/>
              <w:rPr>
                <w:rFonts w:eastAsia="Calibri"/>
                <w:color w:val="0D0D0D"/>
                <w:sz w:val="18"/>
                <w:lang w:val="en-US"/>
              </w:rPr>
            </w:pPr>
            <m:oMathPara>
              <m:oMath>
                <m:sSub>
                  <m:sSubPr>
                    <m:ctrlPr>
                      <w:rPr>
                        <w:rFonts w:ascii="Cambria Math" w:hAnsi="Cambria Math"/>
                        <w:i/>
                        <w:color w:val="0D0D0D"/>
                        <w:sz w:val="18"/>
                      </w:rPr>
                    </m:ctrlPr>
                  </m:sSubPr>
                  <m:e>
                    <m:r>
                      <m:rPr>
                        <m:sty m:val="p"/>
                      </m:rPr>
                      <w:rPr>
                        <w:rFonts w:ascii="Cambria Math" w:hAnsi="Cambria Math"/>
                        <w:color w:val="0D0D0D"/>
                        <w:sz w:val="18"/>
                        <w:lang w:val="en-US"/>
                      </w:rPr>
                      <m:t>Q</m:t>
                    </m:r>
                  </m:e>
                  <m:sub>
                    <m:r>
                      <w:rPr>
                        <w:rFonts w:ascii="Cambria Math" w:hAnsi="Cambria Math"/>
                        <w:color w:val="0D0D0D"/>
                        <w:sz w:val="18"/>
                      </w:rPr>
                      <m:t>added</m:t>
                    </m:r>
                  </m:sub>
                </m:sSub>
                <m:r>
                  <w:rPr>
                    <w:rFonts w:ascii="Cambria Math" w:hAnsi="Cambria Math"/>
                    <w:color w:val="0D0D0D"/>
                    <w:sz w:val="18"/>
                    <w:lang w:val="en-US"/>
                  </w:rPr>
                  <m:t>=</m:t>
                </m:r>
                <m:nary>
                  <m:naryPr>
                    <m:limLoc m:val="subSup"/>
                    <m:subHide m:val="1"/>
                    <m:supHide m:val="1"/>
                    <m:ctrlPr>
                      <w:rPr>
                        <w:rFonts w:ascii="Cambria Math" w:hAnsi="Cambria Math"/>
                        <w:i/>
                        <w:color w:val="0D0D0D"/>
                        <w:sz w:val="18"/>
                      </w:rPr>
                    </m:ctrlPr>
                  </m:naryPr>
                  <m:sub/>
                  <m:sup/>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up</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e>
                </m:nary>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dt</m:t>
                    </m:r>
                  </m:e>
                  <m:sub>
                    <m:r>
                      <w:rPr>
                        <w:rFonts w:ascii="Cambria Math" w:hAnsi="Cambria Math"/>
                        <w:color w:val="0D0D0D"/>
                        <w:sz w:val="18"/>
                      </w:rPr>
                      <m:t>up</m:t>
                    </m:r>
                  </m:sub>
                </m:sSub>
              </m:oMath>
            </m:oMathPara>
          </w:p>
        </w:tc>
        <w:tc>
          <w:tcPr>
            <w:tcW w:w="5391" w:type="dxa"/>
            <w:tcBorders>
              <w:top w:val="single" w:sz="4" w:space="0" w:color="auto"/>
              <w:left w:val="nil"/>
              <w:bottom w:val="nil"/>
              <w:right w:val="nil"/>
            </w:tcBorders>
          </w:tcPr>
          <w:p w14:paraId="7B83888D"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up</m:t>
                  </m:r>
                </m:sub>
              </m:sSub>
            </m:oMath>
            <w:r w:rsidRPr="00CA7A69">
              <w:rPr>
                <w:rFonts w:ascii="Palatino Linotype" w:hAnsi="Palatino Linotype"/>
                <w:color w:val="0D0D0D"/>
                <w:sz w:val="16"/>
                <w:szCs w:val="18"/>
                <w:lang w:val="en-GB"/>
              </w:rPr>
              <w:t>: heating power during the upward flex. event</w:t>
            </w:r>
          </w:p>
          <w:p w14:paraId="001A707A"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ref</m:t>
                  </m:r>
                </m:sub>
              </m:sSub>
            </m:oMath>
            <w:r w:rsidRPr="00CA7A69">
              <w:rPr>
                <w:rFonts w:ascii="Palatino Linotype" w:hAnsi="Palatino Linotype"/>
                <w:color w:val="0D0D0D"/>
                <w:sz w:val="16"/>
                <w:szCs w:val="18"/>
                <w:lang w:val="en-GB"/>
              </w:rPr>
              <w:t>: heating power during the ref. case</w:t>
            </w:r>
          </w:p>
          <w:p w14:paraId="1159B77D"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dt</m:t>
                  </m:r>
                </m:e>
                <m:sub>
                  <m:r>
                    <w:rPr>
                      <w:rFonts w:ascii="Cambria Math" w:hAnsi="Cambria Math"/>
                      <w:color w:val="0D0D0D"/>
                      <w:sz w:val="16"/>
                      <w:szCs w:val="18"/>
                    </w:rPr>
                    <m:t>up</m:t>
                  </m:r>
                </m:sub>
              </m:sSub>
            </m:oMath>
            <w:r w:rsidRPr="00CA7A69">
              <w:rPr>
                <w:rFonts w:ascii="Palatino Linotype" w:hAnsi="Palatino Linotype"/>
                <w:color w:val="0D0D0D"/>
                <w:sz w:val="16"/>
                <w:szCs w:val="18"/>
                <w:lang w:val="en-GB"/>
              </w:rPr>
              <w:t>: duration of the upward flex. event</w:t>
            </w:r>
          </w:p>
          <w:p w14:paraId="39E0EE9C"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w:t>
            </w:r>
          </w:p>
        </w:tc>
        <w:tc>
          <w:tcPr>
            <w:tcW w:w="1413" w:type="dxa"/>
            <w:tcBorders>
              <w:top w:val="single" w:sz="4" w:space="0" w:color="auto"/>
              <w:left w:val="nil"/>
              <w:bottom w:val="nil"/>
              <w:right w:val="nil"/>
            </w:tcBorders>
            <w:vAlign w:val="center"/>
          </w:tcPr>
          <w:p w14:paraId="052EA15C" w14:textId="7012CEC9" w:rsidR="00CA7A69" w:rsidRPr="00CA7A69" w:rsidRDefault="00CA7A69" w:rsidP="00CA7A69">
            <w:pPr>
              <w:spacing w:before="20" w:line="360" w:lineRule="auto"/>
              <w:jc w:val="both"/>
              <w:rPr>
                <w:color w:val="0D0D0D"/>
                <w:sz w:val="14"/>
                <w:szCs w:val="16"/>
                <w:lang w:val="en-US"/>
              </w:rPr>
            </w:pPr>
            <w:r w:rsidRPr="00CA7A69">
              <w:rPr>
                <w:color w:val="0D0D0D"/>
                <w:sz w:val="14"/>
                <w:szCs w:val="16"/>
              </w:rPr>
              <w:fldChar w:fldCharType="begin" w:fldLock="1"/>
            </w:r>
            <w:r w:rsidR="001D3C8C">
              <w:rPr>
                <w:color w:val="0D0D0D"/>
                <w:sz w:val="14"/>
                <w:szCs w:val="16"/>
                <w:lang w:val="en-US"/>
              </w:rPr>
              <w:instrText>ADDIN CSL_CITATION {"citationItems":[{"id":"ITEM-1","itemData":{"DOI":"10.1016/j.enbuild.2018.09.030","ISSN":"03787788","abstract":"Energy flexibility is proposed as a cost-effective solution facilitating secure operation of the energy system while integrating large share of renewables. With strict building regulations in Denmark, newly built buildings are low-energy buildings. In order to identify the role of low-energy buildings in the energy system, we investigated the physical potential for flexibility and analysed the thermal storage capacity existing inherently in the structural mass. Two building types were studied: single-family house and apartment block. The aim is to quantify the energy that can be added to or curtailed from each building during a time period without compromising thermal comfort. Different scenarios (starting time and duration), building design characteristics and boundary conditions were studied. The findings showed that low-energy buildings are highly robust and can remain autonomous for several hours. Although for individual buildings the available energy for curtailment is limited, if many buildings are aggregated energy flexibility becomes significant. The potential for storage in the thermal mass is considerable. The analysis presented high dependence of flexibility potential on boundary conditions (ambient temperature, solar radiation, internal gains) and underlined the importance of envelope insulation. Heat losses govern the potential for flexibility, while the walls’ thermal mass has a secondary influence.","author":[{"dropping-particle":"","family":"Foteinaki","given":"Kyriaki","non-dropping-particle":"","parse-names":false,"suffix":""},{"dropping-particle":"","family":"Li","given":"Rongling","non-dropping-particle":"","parse-names":false,"suffix":""},{"dropping-particle":"","family":"Heller","given":"Alfred","non-dropping-particle":"","parse-names":false,"suffix":""},{"dropping-particle":"","family":"Rode","given":"Carsten","non-dropping-particle":"","parse-names":false,"suffix":""}],"container-title":"Energy and Buildings","id":"ITEM-1","issued":{"date-parts":[["2018"]]},"page":"95-108","publisher":"Elsevier B.V.","title":"Heating system energy flexibility of low-energy residential buildings","type":"article-journal","volume":"180"},"uris":["http://www.mendeley.com/documents/?uuid=f3fac13f-87be-443a-ab84-126567759852"]}],"mendeley":{"formattedCitation":"(Foteinaki et al., 2018)","plainTextFormattedCitation":"(Foteinaki et al., 2018)","previouslyFormattedCitation":"(Foteinaki et al. 2018)"},"properties":{"noteIndex":0},"schema":"https://github.com/citation-style-language/schema/raw/master/csl-citation.json"}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US"/>
              </w:rPr>
              <w:t>(Foteinaki et al., 2018)</w:t>
            </w:r>
            <w:r w:rsidRPr="00CA7A69">
              <w:rPr>
                <w:color w:val="0D0D0D"/>
                <w:sz w:val="14"/>
                <w:szCs w:val="16"/>
              </w:rPr>
              <w:fldChar w:fldCharType="end"/>
            </w:r>
          </w:p>
        </w:tc>
      </w:tr>
      <w:tr w:rsidR="00CA7A69" w:rsidRPr="00CA7A69" w14:paraId="07B15C4A" w14:textId="77777777" w:rsidTr="00117EAB">
        <w:trPr>
          <w:trHeight w:val="478"/>
          <w:jc w:val="center"/>
        </w:trPr>
        <w:tc>
          <w:tcPr>
            <w:tcW w:w="546" w:type="dxa"/>
            <w:tcBorders>
              <w:top w:val="nil"/>
              <w:left w:val="nil"/>
              <w:bottom w:val="nil"/>
              <w:right w:val="nil"/>
            </w:tcBorders>
            <w:vAlign w:val="center"/>
          </w:tcPr>
          <w:p w14:paraId="016A6A51" w14:textId="2535DCBB" w:rsidR="00CA7A69" w:rsidRPr="00CA7A69" w:rsidRDefault="002E19B2"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3</w:t>
            </w:r>
            <w:r w:rsidR="00CA7A69" w:rsidRPr="00CA7A69">
              <w:rPr>
                <w:rFonts w:ascii="Palatino Linotype" w:hAnsi="Palatino Linotype"/>
                <w:color w:val="0D0D0D"/>
                <w:sz w:val="14"/>
                <w:szCs w:val="16"/>
                <w:lang w:val="en-GB"/>
              </w:rPr>
              <w:t>.2</w:t>
            </w:r>
          </w:p>
        </w:tc>
        <w:tc>
          <w:tcPr>
            <w:tcW w:w="3024" w:type="dxa"/>
            <w:tcBorders>
              <w:top w:val="nil"/>
              <w:left w:val="nil"/>
              <w:bottom w:val="nil"/>
              <w:right w:val="nil"/>
            </w:tcBorders>
            <w:vAlign w:val="center"/>
          </w:tcPr>
          <w:p w14:paraId="6A7D439F" w14:textId="77777777" w:rsidR="00CA7A69" w:rsidRPr="00CA7A69" w:rsidRDefault="00CA7A69" w:rsidP="00CA7A69">
            <w:pPr>
              <w:spacing w:before="60" w:line="360" w:lineRule="auto"/>
              <w:jc w:val="center"/>
              <w:rPr>
                <w:rFonts w:ascii="Palatino Linotype" w:hAnsi="Palatino Linotype"/>
                <w:bCs/>
                <w:color w:val="0D0D0D"/>
                <w:sz w:val="16"/>
                <w:szCs w:val="18"/>
                <w:lang w:val="en-US"/>
              </w:rPr>
            </w:pPr>
            <w:r w:rsidRPr="00CA7A69">
              <w:rPr>
                <w:rFonts w:ascii="Palatino Linotype" w:hAnsi="Palatino Linotype"/>
                <w:bCs/>
                <w:color w:val="0D0D0D"/>
                <w:sz w:val="16"/>
                <w:szCs w:val="18"/>
              </w:rPr>
              <w:t>Discharged energy (</w:t>
            </w:r>
            <m:oMath>
              <m:sSub>
                <m:sSubPr>
                  <m:ctrlPr>
                    <w:rPr>
                      <w:rFonts w:ascii="Cambria Math" w:hAnsi="Cambria Math"/>
                      <w:i/>
                      <w:color w:val="0D0D0D"/>
                      <w:sz w:val="16"/>
                      <w:szCs w:val="18"/>
                    </w:rPr>
                  </m:ctrlPr>
                </m:sSubPr>
                <m:e>
                  <m:r>
                    <m:rPr>
                      <m:sty m:val="p"/>
                    </m:rPr>
                    <w:rPr>
                      <w:rFonts w:ascii="Cambria Math" w:hAnsi="Cambria Math"/>
                      <w:color w:val="0D0D0D"/>
                      <w:sz w:val="16"/>
                      <w:szCs w:val="18"/>
                    </w:rPr>
                    <m:t>Q</m:t>
                  </m:r>
                </m:e>
                <m:sub>
                  <m:r>
                    <w:rPr>
                      <w:rFonts w:ascii="Cambria Math" w:hAnsi="Cambria Math"/>
                      <w:color w:val="0D0D0D"/>
                      <w:sz w:val="16"/>
                      <w:szCs w:val="18"/>
                    </w:rPr>
                    <m:t>discharge</m:t>
                  </m:r>
                </m:sub>
              </m:sSub>
            </m:oMath>
            <w:r w:rsidRPr="00CA7A69">
              <w:rPr>
                <w:rFonts w:ascii="Palatino Linotype" w:hAnsi="Palatino Linotype"/>
                <w:bCs/>
                <w:color w:val="0D0D0D"/>
                <w:sz w:val="16"/>
                <w:szCs w:val="18"/>
              </w:rPr>
              <w:t>)</w:t>
            </w:r>
          </w:p>
        </w:tc>
        <w:tc>
          <w:tcPr>
            <w:tcW w:w="3964" w:type="dxa"/>
            <w:tcBorders>
              <w:top w:val="nil"/>
              <w:left w:val="nil"/>
              <w:bottom w:val="nil"/>
              <w:right w:val="nil"/>
            </w:tcBorders>
            <w:vAlign w:val="center"/>
          </w:tcPr>
          <w:p w14:paraId="62980C51" w14:textId="77777777" w:rsidR="00CA7A69" w:rsidRPr="00CA7A69" w:rsidRDefault="005B195F" w:rsidP="00CA7A69">
            <w:pPr>
              <w:spacing w:before="20" w:line="360" w:lineRule="auto"/>
              <w:jc w:val="center"/>
              <w:rPr>
                <w:rFonts w:eastAsia="Calibri"/>
                <w:color w:val="0D0D0D"/>
                <w:sz w:val="18"/>
                <w:lang w:val="en-US"/>
              </w:rPr>
            </w:pPr>
            <m:oMathPara>
              <m:oMath>
                <m:sSub>
                  <m:sSubPr>
                    <m:ctrlPr>
                      <w:rPr>
                        <w:rFonts w:ascii="Cambria Math" w:hAnsi="Cambria Math"/>
                        <w:i/>
                        <w:color w:val="0D0D0D"/>
                        <w:sz w:val="18"/>
                      </w:rPr>
                    </m:ctrlPr>
                  </m:sSubPr>
                  <m:e>
                    <m:r>
                      <m:rPr>
                        <m:sty m:val="p"/>
                      </m:rPr>
                      <w:rPr>
                        <w:rFonts w:ascii="Cambria Math" w:hAnsi="Cambria Math"/>
                        <w:color w:val="0D0D0D"/>
                        <w:sz w:val="18"/>
                        <w:lang w:val="en-US"/>
                      </w:rPr>
                      <m:t>Q</m:t>
                    </m:r>
                  </m:e>
                  <m:sub>
                    <m:r>
                      <w:rPr>
                        <w:rFonts w:ascii="Cambria Math" w:hAnsi="Cambria Math"/>
                        <w:color w:val="0D0D0D"/>
                        <w:sz w:val="18"/>
                      </w:rPr>
                      <m:t>disc</m:t>
                    </m:r>
                    <m:r>
                      <w:rPr>
                        <w:rFonts w:ascii="Cambria Math" w:hAnsi="Cambria Math"/>
                        <w:color w:val="0D0D0D"/>
                        <w:sz w:val="18"/>
                        <w:lang w:val="en-US"/>
                      </w:rPr>
                      <m:t>h</m:t>
                    </m:r>
                    <m:r>
                      <w:rPr>
                        <w:rFonts w:ascii="Cambria Math" w:hAnsi="Cambria Math"/>
                        <w:color w:val="0D0D0D"/>
                        <w:sz w:val="18"/>
                      </w:rPr>
                      <m:t>arge</m:t>
                    </m:r>
                  </m:sub>
                </m:sSub>
                <m:r>
                  <w:rPr>
                    <w:rFonts w:ascii="Cambria Math" w:hAnsi="Cambria Math"/>
                    <w:color w:val="0D0D0D"/>
                    <w:sz w:val="18"/>
                    <w:lang w:val="en-US"/>
                  </w:rPr>
                  <m:t>=</m:t>
                </m:r>
                <m:nary>
                  <m:naryPr>
                    <m:limLoc m:val="subSup"/>
                    <m:subHide m:val="1"/>
                    <m:supHide m:val="1"/>
                    <m:ctrlPr>
                      <w:rPr>
                        <w:rFonts w:ascii="Cambria Math" w:hAnsi="Cambria Math"/>
                        <w:i/>
                        <w:color w:val="0D0D0D"/>
                        <w:sz w:val="18"/>
                      </w:rPr>
                    </m:ctrlPr>
                  </m:naryPr>
                  <m:sub/>
                  <m:sup/>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disc</m:t>
                        </m:r>
                        <m:r>
                          <w:rPr>
                            <w:rFonts w:ascii="Cambria Math" w:hAnsi="Cambria Math"/>
                            <w:color w:val="0D0D0D"/>
                            <w:sz w:val="18"/>
                            <w:lang w:val="en-US"/>
                          </w:rPr>
                          <m:t>h</m:t>
                        </m:r>
                        <m:r>
                          <w:rPr>
                            <w:rFonts w:ascii="Cambria Math" w:hAnsi="Cambria Math"/>
                            <w:color w:val="0D0D0D"/>
                            <w:sz w:val="18"/>
                          </w:rPr>
                          <m:t>arge</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e>
                </m:nary>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dt</m:t>
                    </m:r>
                  </m:e>
                  <m:sub>
                    <m:r>
                      <w:rPr>
                        <w:rFonts w:ascii="Cambria Math" w:hAnsi="Cambria Math"/>
                        <w:color w:val="0D0D0D"/>
                        <w:sz w:val="18"/>
                      </w:rPr>
                      <m:t>disc</m:t>
                    </m:r>
                    <m:r>
                      <w:rPr>
                        <w:rFonts w:ascii="Cambria Math" w:hAnsi="Cambria Math"/>
                        <w:color w:val="0D0D0D"/>
                        <w:sz w:val="18"/>
                        <w:lang w:val="en-US"/>
                      </w:rPr>
                      <m:t>h</m:t>
                    </m:r>
                    <m:r>
                      <w:rPr>
                        <w:rFonts w:ascii="Cambria Math" w:hAnsi="Cambria Math"/>
                        <w:color w:val="0D0D0D"/>
                        <w:sz w:val="18"/>
                      </w:rPr>
                      <m:t>arge</m:t>
                    </m:r>
                  </m:sub>
                </m:sSub>
              </m:oMath>
            </m:oMathPara>
          </w:p>
        </w:tc>
        <w:tc>
          <w:tcPr>
            <w:tcW w:w="5391" w:type="dxa"/>
            <w:tcBorders>
              <w:top w:val="nil"/>
              <w:left w:val="nil"/>
              <w:bottom w:val="nil"/>
              <w:right w:val="nil"/>
            </w:tcBorders>
          </w:tcPr>
          <w:p w14:paraId="7E1D77C2"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disc</m:t>
                  </m:r>
                  <m:r>
                    <w:rPr>
                      <w:rFonts w:ascii="Cambria Math" w:hAnsi="Cambria Math"/>
                      <w:color w:val="0D0D0D"/>
                      <w:sz w:val="16"/>
                      <w:szCs w:val="18"/>
                      <w:lang w:val="en-US"/>
                    </w:rPr>
                    <m:t>h</m:t>
                  </m:r>
                  <m:r>
                    <w:rPr>
                      <w:rFonts w:ascii="Cambria Math" w:hAnsi="Cambria Math"/>
                      <w:color w:val="0D0D0D"/>
                      <w:sz w:val="16"/>
                      <w:szCs w:val="18"/>
                    </w:rPr>
                    <m:t>arge</m:t>
                  </m:r>
                </m:sub>
              </m:sSub>
            </m:oMath>
            <w:r w:rsidRPr="00CA7A69">
              <w:rPr>
                <w:rFonts w:ascii="Palatino Linotype" w:hAnsi="Palatino Linotype"/>
                <w:color w:val="0D0D0D"/>
                <w:sz w:val="16"/>
                <w:szCs w:val="18"/>
                <w:lang w:val="en-GB"/>
              </w:rPr>
              <w:t>: heating power during the discharging period</w:t>
            </w:r>
          </w:p>
          <w:p w14:paraId="4B8842BD"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ref</m:t>
                  </m:r>
                </m:sub>
              </m:sSub>
            </m:oMath>
            <w:r w:rsidRPr="00CA7A69">
              <w:rPr>
                <w:rFonts w:ascii="Palatino Linotype" w:hAnsi="Palatino Linotype"/>
                <w:color w:val="0D0D0D"/>
                <w:sz w:val="16"/>
                <w:szCs w:val="18"/>
                <w:lang w:val="en-GB"/>
              </w:rPr>
              <w:t>: heating power during the ref. case</w:t>
            </w:r>
          </w:p>
          <w:p w14:paraId="457530D7"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dt</m:t>
                  </m:r>
                </m:e>
                <m:sub>
                  <m:r>
                    <w:rPr>
                      <w:rFonts w:ascii="Cambria Math" w:hAnsi="Cambria Math"/>
                      <w:color w:val="0D0D0D"/>
                      <w:sz w:val="16"/>
                      <w:szCs w:val="18"/>
                    </w:rPr>
                    <m:t>disc</m:t>
                  </m:r>
                  <m:r>
                    <w:rPr>
                      <w:rFonts w:ascii="Cambria Math" w:hAnsi="Cambria Math"/>
                      <w:color w:val="0D0D0D"/>
                      <w:sz w:val="16"/>
                      <w:szCs w:val="18"/>
                      <w:lang w:val="en-US"/>
                    </w:rPr>
                    <m:t>h</m:t>
                  </m:r>
                  <m:r>
                    <w:rPr>
                      <w:rFonts w:ascii="Cambria Math" w:hAnsi="Cambria Math"/>
                      <w:color w:val="0D0D0D"/>
                      <w:sz w:val="16"/>
                      <w:szCs w:val="18"/>
                    </w:rPr>
                    <m:t>arge</m:t>
                  </m:r>
                </m:sub>
              </m:sSub>
            </m:oMath>
            <w:r w:rsidRPr="00CA7A69">
              <w:rPr>
                <w:rFonts w:ascii="Palatino Linotype" w:hAnsi="Palatino Linotype"/>
                <w:color w:val="0D0D0D"/>
                <w:sz w:val="16"/>
                <w:szCs w:val="18"/>
                <w:lang w:val="en-GB"/>
              </w:rPr>
              <w:t>: duration of time after the end of the upward flex. event before ref. operation</w:t>
            </w:r>
          </w:p>
        </w:tc>
        <w:tc>
          <w:tcPr>
            <w:tcW w:w="1413" w:type="dxa"/>
            <w:tcBorders>
              <w:top w:val="nil"/>
              <w:left w:val="nil"/>
              <w:bottom w:val="nil"/>
              <w:right w:val="nil"/>
            </w:tcBorders>
            <w:vAlign w:val="center"/>
          </w:tcPr>
          <w:p w14:paraId="3BDF7C53" w14:textId="3149D046" w:rsidR="00CA7A69" w:rsidRPr="00CA7A69" w:rsidRDefault="00CA7A69" w:rsidP="00CA7A69">
            <w:pPr>
              <w:spacing w:before="20" w:line="360" w:lineRule="auto"/>
              <w:jc w:val="both"/>
              <w:rPr>
                <w:color w:val="0D0D0D"/>
                <w:sz w:val="14"/>
                <w:szCs w:val="16"/>
                <w:lang w:val="en-US"/>
              </w:rPr>
            </w:pPr>
            <w:r w:rsidRPr="00CA7A69">
              <w:rPr>
                <w:color w:val="0D0D0D"/>
                <w:sz w:val="14"/>
                <w:szCs w:val="16"/>
              </w:rPr>
              <w:fldChar w:fldCharType="begin" w:fldLock="1"/>
            </w:r>
            <w:r w:rsidR="001D3C8C">
              <w:rPr>
                <w:color w:val="0D0D0D"/>
                <w:sz w:val="14"/>
                <w:szCs w:val="16"/>
                <w:lang w:val="en-US"/>
              </w:rPr>
              <w:instrText>ADDIN CSL_CITATION {"citationItems":[{"id":"ITEM-1","itemData":{"DOI":"10.1016/j.enbuild.2018.09.030","ISSN":"03787788","abstract":"Energy flexibility is proposed as a cost-effective solution facilitating secure operation of the energy system while integrating large share of renewables. With strict building regulations in Denmark, newly built buildings are low-energy buildings. In order to identify the role of low-energy buildings in the energy system, we investigated the physical potential for flexibility and analysed the thermal storage capacity existing inherently in the structural mass. Two building types were studied: single-family house and apartment block. The aim is to quantify the energy that can be added to or curtailed from each building during a time period without compromising thermal comfort. Different scenarios (starting time and duration), building design characteristics and boundary conditions were studied. The findings showed that low-energy buildings are highly robust and can remain autonomous for several hours. Although for individual buildings the available energy for curtailment is limited, if many buildings are aggregated energy flexibility becomes significant. The potential for storage in the thermal mass is considerable. The analysis presented high dependence of flexibility potential on boundary conditions (ambient temperature, solar radiation, internal gains) and underlined the importance of envelope insulation. Heat losses govern the potential for flexibility, while the walls’ thermal mass has a secondary influence.","author":[{"dropping-particle":"","family":"Foteinaki","given":"Kyriaki","non-dropping-particle":"","parse-names":false,"suffix":""},{"dropping-particle":"","family":"Li","given":"Rongling","non-dropping-particle":"","parse-names":false,"suffix":""},{"dropping-particle":"","family":"Heller","given":"Alfred","non-dropping-particle":"","parse-names":false,"suffix":""},{"dropping-particle":"","family":"Rode","given":"Carsten","non-dropping-particle":"","parse-names":false,"suffix":""}],"container-title":"Energy and Buildings","id":"ITEM-1","issued":{"date-parts":[["2018"]]},"page":"95-108","publisher":"Elsevier B.V.","title":"Heating system energy flexibility of low-energy residential buildings","type":"article-journal","volume":"180"},"uris":["http://www.mendeley.com/documents/?uuid=f3fac13f-87be-443a-ab84-126567759852"]}],"mendeley":{"formattedCitation":"(Foteinaki et al., 2018)","plainTextFormattedCitation":"(Foteinaki et al., 2018)","previouslyFormattedCitation":"(Foteinaki et al. 2018)"},"properties":{"noteIndex":0},"schema":"https://github.com/citation-style-language/schema/raw/master/csl-citation.json"}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US"/>
              </w:rPr>
              <w:t>(Foteinaki et al., 2018)</w:t>
            </w:r>
            <w:r w:rsidRPr="00CA7A69">
              <w:rPr>
                <w:color w:val="0D0D0D"/>
                <w:sz w:val="14"/>
                <w:szCs w:val="16"/>
              </w:rPr>
              <w:fldChar w:fldCharType="end"/>
            </w:r>
          </w:p>
        </w:tc>
      </w:tr>
      <w:tr w:rsidR="00CA7A69" w:rsidRPr="00CA7A69" w14:paraId="6776641D" w14:textId="77777777" w:rsidTr="00117EAB">
        <w:trPr>
          <w:trHeight w:val="478"/>
          <w:jc w:val="center"/>
        </w:trPr>
        <w:tc>
          <w:tcPr>
            <w:tcW w:w="546" w:type="dxa"/>
            <w:tcBorders>
              <w:top w:val="nil"/>
              <w:left w:val="nil"/>
              <w:bottom w:val="nil"/>
              <w:right w:val="nil"/>
            </w:tcBorders>
            <w:vAlign w:val="center"/>
          </w:tcPr>
          <w:p w14:paraId="3A2E3815" w14:textId="34AD218C" w:rsidR="00CA7A69" w:rsidRPr="00CA7A69" w:rsidRDefault="00DA49A8"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lastRenderedPageBreak/>
              <w:t>3.</w:t>
            </w:r>
            <w:r w:rsidR="002E19B2">
              <w:rPr>
                <w:rFonts w:ascii="Palatino Linotype" w:hAnsi="Palatino Linotype"/>
                <w:color w:val="0D0D0D"/>
                <w:sz w:val="14"/>
                <w:szCs w:val="16"/>
                <w:lang w:val="en-GB"/>
              </w:rPr>
              <w:t>3</w:t>
            </w:r>
          </w:p>
        </w:tc>
        <w:tc>
          <w:tcPr>
            <w:tcW w:w="3024" w:type="dxa"/>
            <w:tcBorders>
              <w:top w:val="nil"/>
              <w:left w:val="nil"/>
              <w:bottom w:val="nil"/>
              <w:right w:val="nil"/>
            </w:tcBorders>
            <w:vAlign w:val="center"/>
          </w:tcPr>
          <w:p w14:paraId="1A2A561F" w14:textId="77777777" w:rsidR="00CA7A69" w:rsidRPr="00CA7A69" w:rsidRDefault="00CA7A69" w:rsidP="00CA7A69">
            <w:pPr>
              <w:spacing w:before="60" w:line="360" w:lineRule="auto"/>
              <w:jc w:val="center"/>
              <w:rPr>
                <w:rFonts w:ascii="Palatino Linotype" w:hAnsi="Palatino Linotype"/>
                <w:bCs/>
                <w:color w:val="0D0D0D"/>
                <w:sz w:val="16"/>
                <w:szCs w:val="18"/>
                <w:lang w:val="en-US"/>
              </w:rPr>
            </w:pPr>
            <w:r w:rsidRPr="00CA7A69">
              <w:rPr>
                <w:rFonts w:ascii="Palatino Linotype" w:hAnsi="Palatino Linotype"/>
                <w:bCs/>
                <w:color w:val="0D0D0D"/>
                <w:sz w:val="16"/>
                <w:szCs w:val="18"/>
              </w:rPr>
              <w:t>Curtailed energy (</w:t>
            </w:r>
            <m:oMath>
              <m:sSub>
                <m:sSubPr>
                  <m:ctrlPr>
                    <w:rPr>
                      <w:rFonts w:ascii="Cambria Math" w:hAnsi="Cambria Math"/>
                      <w:i/>
                      <w:color w:val="0D0D0D"/>
                      <w:sz w:val="16"/>
                      <w:szCs w:val="18"/>
                    </w:rPr>
                  </m:ctrlPr>
                </m:sSubPr>
                <m:e>
                  <m:r>
                    <m:rPr>
                      <m:sty m:val="p"/>
                    </m:rPr>
                    <w:rPr>
                      <w:rFonts w:ascii="Cambria Math" w:hAnsi="Cambria Math"/>
                      <w:color w:val="0D0D0D"/>
                      <w:sz w:val="16"/>
                      <w:szCs w:val="18"/>
                    </w:rPr>
                    <m:t>Q</m:t>
                  </m:r>
                </m:e>
                <m:sub>
                  <m:r>
                    <w:rPr>
                      <w:rFonts w:ascii="Cambria Math" w:hAnsi="Cambria Math"/>
                      <w:color w:val="0D0D0D"/>
                      <w:sz w:val="16"/>
                      <w:szCs w:val="18"/>
                    </w:rPr>
                    <m:t>curtailed</m:t>
                  </m:r>
                </m:sub>
              </m:sSub>
            </m:oMath>
            <w:r w:rsidRPr="00CA7A69">
              <w:rPr>
                <w:rFonts w:ascii="Palatino Linotype" w:hAnsi="Palatino Linotype"/>
                <w:bCs/>
                <w:color w:val="0D0D0D"/>
                <w:sz w:val="16"/>
                <w:szCs w:val="18"/>
              </w:rPr>
              <w:t>)</w:t>
            </w:r>
          </w:p>
        </w:tc>
        <w:tc>
          <w:tcPr>
            <w:tcW w:w="3964" w:type="dxa"/>
            <w:tcBorders>
              <w:top w:val="nil"/>
              <w:left w:val="nil"/>
              <w:bottom w:val="nil"/>
              <w:right w:val="nil"/>
            </w:tcBorders>
            <w:vAlign w:val="center"/>
          </w:tcPr>
          <w:p w14:paraId="6536AA97" w14:textId="77777777" w:rsidR="00CA7A69" w:rsidRPr="00CA7A69" w:rsidRDefault="005B195F" w:rsidP="00CA7A69">
            <w:pPr>
              <w:spacing w:before="20" w:line="360" w:lineRule="auto"/>
              <w:jc w:val="center"/>
              <w:rPr>
                <w:rFonts w:eastAsia="Calibri"/>
                <w:color w:val="0D0D0D"/>
                <w:sz w:val="18"/>
                <w:lang w:val="en-US"/>
              </w:rPr>
            </w:pPr>
            <m:oMathPara>
              <m:oMath>
                <m:sSub>
                  <m:sSubPr>
                    <m:ctrlPr>
                      <w:rPr>
                        <w:rFonts w:ascii="Cambria Math" w:hAnsi="Cambria Math"/>
                        <w:i/>
                        <w:color w:val="0D0D0D"/>
                        <w:sz w:val="18"/>
                      </w:rPr>
                    </m:ctrlPr>
                  </m:sSubPr>
                  <m:e>
                    <m:r>
                      <m:rPr>
                        <m:sty m:val="p"/>
                      </m:rPr>
                      <w:rPr>
                        <w:rFonts w:ascii="Cambria Math" w:hAnsi="Cambria Math"/>
                        <w:color w:val="0D0D0D"/>
                        <w:sz w:val="18"/>
                        <w:lang w:val="en-US"/>
                      </w:rPr>
                      <m:t>Q</m:t>
                    </m:r>
                  </m:e>
                  <m:sub>
                    <m:r>
                      <w:rPr>
                        <w:rFonts w:ascii="Cambria Math" w:hAnsi="Cambria Math"/>
                        <w:color w:val="0D0D0D"/>
                        <w:sz w:val="18"/>
                      </w:rPr>
                      <m:t>curtailed</m:t>
                    </m:r>
                  </m:sub>
                </m:sSub>
                <m:r>
                  <w:rPr>
                    <w:rFonts w:ascii="Cambria Math" w:hAnsi="Cambria Math"/>
                    <w:color w:val="0D0D0D"/>
                    <w:sz w:val="18"/>
                    <w:lang w:val="en-US"/>
                  </w:rPr>
                  <m:t>=</m:t>
                </m:r>
                <m:nary>
                  <m:naryPr>
                    <m:limLoc m:val="subSup"/>
                    <m:subHide m:val="1"/>
                    <m:supHide m:val="1"/>
                    <m:ctrlPr>
                      <w:rPr>
                        <w:rFonts w:ascii="Cambria Math" w:hAnsi="Cambria Math"/>
                        <w:i/>
                        <w:color w:val="0D0D0D"/>
                        <w:sz w:val="18"/>
                      </w:rPr>
                    </m:ctrlPr>
                  </m:naryPr>
                  <m:sub/>
                  <m:sup/>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down</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e>
                </m:nary>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dt</m:t>
                    </m:r>
                  </m:e>
                  <m:sub>
                    <m:r>
                      <w:rPr>
                        <w:rFonts w:ascii="Cambria Math" w:hAnsi="Cambria Math"/>
                        <w:color w:val="0D0D0D"/>
                        <w:sz w:val="18"/>
                      </w:rPr>
                      <m:t>down</m:t>
                    </m:r>
                  </m:sub>
                </m:sSub>
              </m:oMath>
            </m:oMathPara>
          </w:p>
        </w:tc>
        <w:tc>
          <w:tcPr>
            <w:tcW w:w="5391" w:type="dxa"/>
            <w:tcBorders>
              <w:top w:val="nil"/>
              <w:left w:val="nil"/>
              <w:bottom w:val="nil"/>
              <w:right w:val="nil"/>
            </w:tcBorders>
          </w:tcPr>
          <w:p w14:paraId="7D3B600F"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down</m:t>
                  </m:r>
                </m:sub>
              </m:sSub>
            </m:oMath>
            <w:r w:rsidRPr="00CA7A69">
              <w:rPr>
                <w:rFonts w:ascii="Palatino Linotype" w:hAnsi="Palatino Linotype"/>
                <w:color w:val="0D0D0D"/>
                <w:sz w:val="16"/>
                <w:szCs w:val="18"/>
                <w:lang w:val="en-GB"/>
              </w:rPr>
              <w:t>: heating power during the downward flex. event</w:t>
            </w:r>
          </w:p>
          <w:p w14:paraId="69E10D4B"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ref</m:t>
                  </m:r>
                </m:sub>
              </m:sSub>
            </m:oMath>
            <w:r w:rsidRPr="00CA7A69">
              <w:rPr>
                <w:rFonts w:ascii="Palatino Linotype" w:hAnsi="Palatino Linotype"/>
                <w:color w:val="0D0D0D"/>
                <w:sz w:val="16"/>
                <w:szCs w:val="18"/>
                <w:lang w:val="en-GB"/>
              </w:rPr>
              <w:t>: heating power during the ref. case</w:t>
            </w:r>
          </w:p>
          <w:p w14:paraId="79C7DB2C"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dt</m:t>
                  </m:r>
                </m:e>
                <m:sub>
                  <m:r>
                    <w:rPr>
                      <w:rFonts w:ascii="Cambria Math" w:hAnsi="Cambria Math"/>
                      <w:color w:val="0D0D0D"/>
                      <w:sz w:val="16"/>
                      <w:szCs w:val="18"/>
                    </w:rPr>
                    <m:t>down</m:t>
                  </m:r>
                </m:sub>
              </m:sSub>
            </m:oMath>
            <w:r w:rsidRPr="00CA7A69">
              <w:rPr>
                <w:rFonts w:ascii="Palatino Linotype" w:hAnsi="Palatino Linotype"/>
                <w:color w:val="0D0D0D"/>
                <w:sz w:val="16"/>
                <w:szCs w:val="18"/>
                <w:lang w:val="en-GB"/>
              </w:rPr>
              <w:t>: duration of the downward flex. event</w:t>
            </w:r>
          </w:p>
        </w:tc>
        <w:tc>
          <w:tcPr>
            <w:tcW w:w="1413" w:type="dxa"/>
            <w:tcBorders>
              <w:top w:val="nil"/>
              <w:left w:val="nil"/>
              <w:bottom w:val="nil"/>
              <w:right w:val="nil"/>
            </w:tcBorders>
            <w:vAlign w:val="center"/>
          </w:tcPr>
          <w:p w14:paraId="03301A87" w14:textId="1F9F33B9" w:rsidR="00CA7A69" w:rsidRPr="00CA7A69" w:rsidRDefault="00CA7A69" w:rsidP="00CA7A69">
            <w:pPr>
              <w:spacing w:before="20" w:line="360" w:lineRule="auto"/>
              <w:jc w:val="both"/>
              <w:rPr>
                <w:color w:val="0D0D0D"/>
                <w:sz w:val="14"/>
                <w:szCs w:val="16"/>
                <w:lang w:val="en-US"/>
              </w:rPr>
            </w:pPr>
            <w:r w:rsidRPr="00CA7A69">
              <w:rPr>
                <w:color w:val="0D0D0D"/>
                <w:sz w:val="14"/>
                <w:szCs w:val="16"/>
              </w:rPr>
              <w:fldChar w:fldCharType="begin" w:fldLock="1"/>
            </w:r>
            <w:r w:rsidR="001D3C8C">
              <w:rPr>
                <w:color w:val="0D0D0D"/>
                <w:sz w:val="14"/>
                <w:szCs w:val="16"/>
                <w:lang w:val="en-US"/>
              </w:rPr>
              <w:instrText>ADDIN CSL_CITATION {"citationItems":[{"id":"ITEM-1","itemData":{"DOI":"10.1016/j.enbuild.2018.09.030","ISSN":"03787788","abstract":"Energy flexibility is proposed as a cost-effective solution facilitating secure operation of the energy system while integrating large share of renewables. With strict building regulations in Denmark, newly built buildings are low-energy buildings. In order to identify the role of low-energy buildings in the energy system, we investigated the physical potential for flexibility and analysed the thermal storage capacity existing inherently in the structural mass. Two building types were studied: single-family house and apartment block. The aim is to quantify the energy that can be added to or curtailed from each building during a time period without compromising thermal comfort. Different scenarios (starting time and duration), building design characteristics and boundary conditions were studied. The findings showed that low-energy buildings are highly robust and can remain autonomous for several hours. Although for individual buildings the available energy for curtailment is limited, if many buildings are aggregated energy flexibility becomes significant. The potential for storage in the thermal mass is considerable. The analysis presented high dependence of flexibility potential on boundary conditions (ambient temperature, solar radiation, internal gains) and underlined the importance of envelope insulation. Heat losses govern the potential for flexibility, while the walls’ thermal mass has a secondary influence.","author":[{"dropping-particle":"","family":"Foteinaki","given":"Kyriaki","non-dropping-particle":"","parse-names":false,"suffix":""},{"dropping-particle":"","family":"Li","given":"Rongling","non-dropping-particle":"","parse-names":false,"suffix":""},{"dropping-particle":"","family":"Heller","given":"Alfred","non-dropping-particle":"","parse-names":false,"suffix":""},{"dropping-particle":"","family":"Rode","given":"Carsten","non-dropping-particle":"","parse-names":false,"suffix":""}],"container-title":"Energy and Buildings","id":"ITEM-1","issued":{"date-parts":[["2018"]]},"page":"95-108","publisher":"Elsevier B.V.","title":"Heating system energy flexibility of low-energy residential buildings","type":"article-journal","volume":"180"},"uris":["http://www.mendeley.com/documents/?uuid=f3fac13f-87be-443a-ab84-126567759852"]}],"mendeley":{"formattedCitation":"(Foteinaki et al., 2018)","plainTextFormattedCitation":"(Foteinaki et al., 2018)","previouslyFormattedCitation":"(Foteinaki et al. 2018)"},"properties":{"noteIndex":0},"schema":"https://github.com/citation-style-language/schema/raw/master/csl-citation.json"}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US"/>
              </w:rPr>
              <w:t>(Foteinaki et al., 2018)</w:t>
            </w:r>
            <w:r w:rsidRPr="00CA7A69">
              <w:rPr>
                <w:color w:val="0D0D0D"/>
                <w:sz w:val="14"/>
                <w:szCs w:val="16"/>
              </w:rPr>
              <w:fldChar w:fldCharType="end"/>
            </w:r>
          </w:p>
        </w:tc>
      </w:tr>
      <w:tr w:rsidR="00CA7A69" w:rsidRPr="00CA7A69" w14:paraId="3732E1DE" w14:textId="77777777" w:rsidTr="00B078C2">
        <w:trPr>
          <w:trHeight w:val="478"/>
          <w:jc w:val="center"/>
        </w:trPr>
        <w:tc>
          <w:tcPr>
            <w:tcW w:w="546" w:type="dxa"/>
            <w:tcBorders>
              <w:top w:val="nil"/>
              <w:left w:val="nil"/>
              <w:bottom w:val="single" w:sz="4" w:space="0" w:color="auto"/>
              <w:right w:val="nil"/>
            </w:tcBorders>
            <w:vAlign w:val="center"/>
          </w:tcPr>
          <w:p w14:paraId="43EB99C8" w14:textId="45DCCCBA" w:rsidR="00CA7A69" w:rsidRPr="00CA7A69" w:rsidRDefault="002E19B2"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3</w:t>
            </w:r>
            <w:r w:rsidR="00CA7A69" w:rsidRPr="00CA7A69">
              <w:rPr>
                <w:rFonts w:ascii="Palatino Linotype" w:hAnsi="Palatino Linotype"/>
                <w:color w:val="0D0D0D"/>
                <w:sz w:val="14"/>
                <w:szCs w:val="16"/>
                <w:lang w:val="en-GB"/>
              </w:rPr>
              <w:t>.4</w:t>
            </w:r>
          </w:p>
        </w:tc>
        <w:tc>
          <w:tcPr>
            <w:tcW w:w="3024" w:type="dxa"/>
            <w:tcBorders>
              <w:top w:val="nil"/>
              <w:left w:val="nil"/>
              <w:bottom w:val="single" w:sz="4" w:space="0" w:color="auto"/>
              <w:right w:val="nil"/>
            </w:tcBorders>
            <w:vAlign w:val="center"/>
          </w:tcPr>
          <w:p w14:paraId="4077780E" w14:textId="77777777" w:rsidR="00CA7A69" w:rsidRPr="00CA7A69" w:rsidRDefault="00CA7A69" w:rsidP="00CA7A69">
            <w:pPr>
              <w:spacing w:before="60" w:line="360" w:lineRule="auto"/>
              <w:jc w:val="center"/>
              <w:rPr>
                <w:rFonts w:ascii="Palatino Linotype" w:hAnsi="Palatino Linotype"/>
                <w:bCs/>
                <w:color w:val="0D0D0D"/>
                <w:sz w:val="16"/>
                <w:szCs w:val="18"/>
                <w:lang w:val="en-US"/>
              </w:rPr>
            </w:pPr>
            <w:r w:rsidRPr="00CA7A69">
              <w:rPr>
                <w:rFonts w:ascii="Palatino Linotype" w:hAnsi="Palatino Linotype"/>
                <w:bCs/>
                <w:color w:val="0D0D0D"/>
                <w:sz w:val="16"/>
                <w:szCs w:val="18"/>
              </w:rPr>
              <w:t>Rebound energy (</w:t>
            </w:r>
            <m:oMath>
              <m:sSub>
                <m:sSubPr>
                  <m:ctrlPr>
                    <w:rPr>
                      <w:rFonts w:ascii="Cambria Math" w:hAnsi="Cambria Math"/>
                      <w:i/>
                      <w:color w:val="0D0D0D"/>
                      <w:sz w:val="16"/>
                      <w:szCs w:val="18"/>
                    </w:rPr>
                  </m:ctrlPr>
                </m:sSubPr>
                <m:e>
                  <m:r>
                    <m:rPr>
                      <m:sty m:val="p"/>
                    </m:rPr>
                    <w:rPr>
                      <w:rFonts w:ascii="Cambria Math" w:hAnsi="Cambria Math"/>
                      <w:color w:val="0D0D0D"/>
                      <w:sz w:val="16"/>
                      <w:szCs w:val="18"/>
                    </w:rPr>
                    <m:t>Q</m:t>
                  </m:r>
                </m:e>
                <m:sub>
                  <m:r>
                    <w:rPr>
                      <w:rFonts w:ascii="Cambria Math" w:hAnsi="Cambria Math"/>
                      <w:color w:val="0D0D0D"/>
                      <w:sz w:val="16"/>
                      <w:szCs w:val="18"/>
                    </w:rPr>
                    <m:t>rebound</m:t>
                  </m:r>
                </m:sub>
              </m:sSub>
            </m:oMath>
            <w:r w:rsidRPr="00CA7A69">
              <w:rPr>
                <w:rFonts w:ascii="Palatino Linotype" w:hAnsi="Palatino Linotype"/>
                <w:bCs/>
                <w:color w:val="0D0D0D"/>
                <w:sz w:val="16"/>
                <w:szCs w:val="18"/>
              </w:rPr>
              <w:t>)</w:t>
            </w:r>
          </w:p>
        </w:tc>
        <w:tc>
          <w:tcPr>
            <w:tcW w:w="3964" w:type="dxa"/>
            <w:tcBorders>
              <w:top w:val="nil"/>
              <w:left w:val="nil"/>
              <w:bottom w:val="single" w:sz="4" w:space="0" w:color="auto"/>
              <w:right w:val="nil"/>
            </w:tcBorders>
            <w:vAlign w:val="center"/>
          </w:tcPr>
          <w:p w14:paraId="4245883A" w14:textId="77777777" w:rsidR="00CA7A69" w:rsidRPr="00CA7A69" w:rsidRDefault="005B195F" w:rsidP="00CA7A69">
            <w:pPr>
              <w:spacing w:before="20" w:line="360" w:lineRule="auto"/>
              <w:jc w:val="center"/>
              <w:rPr>
                <w:rFonts w:eastAsia="Calibri"/>
                <w:color w:val="0D0D0D"/>
                <w:sz w:val="18"/>
                <w:lang w:val="en-US"/>
              </w:rPr>
            </w:pPr>
            <m:oMathPara>
              <m:oMath>
                <m:sSub>
                  <m:sSubPr>
                    <m:ctrlPr>
                      <w:rPr>
                        <w:rFonts w:ascii="Cambria Math" w:hAnsi="Cambria Math"/>
                        <w:i/>
                        <w:color w:val="0D0D0D"/>
                        <w:sz w:val="18"/>
                      </w:rPr>
                    </m:ctrlPr>
                  </m:sSubPr>
                  <m:e>
                    <m:r>
                      <m:rPr>
                        <m:sty m:val="p"/>
                      </m:rPr>
                      <w:rPr>
                        <w:rFonts w:ascii="Cambria Math" w:hAnsi="Cambria Math"/>
                        <w:color w:val="0D0D0D"/>
                        <w:sz w:val="18"/>
                        <w:lang w:val="en-US"/>
                      </w:rPr>
                      <m:t>Q</m:t>
                    </m:r>
                  </m:e>
                  <m:sub>
                    <m:r>
                      <w:rPr>
                        <w:rFonts w:ascii="Cambria Math" w:hAnsi="Cambria Math"/>
                        <w:color w:val="0D0D0D"/>
                        <w:sz w:val="18"/>
                      </w:rPr>
                      <m:t>rebound</m:t>
                    </m:r>
                  </m:sub>
                </m:sSub>
                <m:r>
                  <w:rPr>
                    <w:rFonts w:ascii="Cambria Math" w:hAnsi="Cambria Math"/>
                    <w:color w:val="0D0D0D"/>
                    <w:sz w:val="18"/>
                    <w:lang w:val="en-US"/>
                  </w:rPr>
                  <m:t>=</m:t>
                </m:r>
                <m:nary>
                  <m:naryPr>
                    <m:limLoc m:val="subSup"/>
                    <m:subHide m:val="1"/>
                    <m:supHide m:val="1"/>
                    <m:ctrlPr>
                      <w:rPr>
                        <w:rFonts w:ascii="Cambria Math" w:hAnsi="Cambria Math"/>
                        <w:i/>
                        <w:color w:val="0D0D0D"/>
                        <w:sz w:val="18"/>
                      </w:rPr>
                    </m:ctrlPr>
                  </m:naryPr>
                  <m:sub/>
                  <m:sup/>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rebound</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e>
                </m:nary>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ref</m:t>
                    </m:r>
                  </m:sub>
                </m:sSub>
                <m:r>
                  <w:rPr>
                    <w:rFonts w:ascii="Cambria Math" w:hAnsi="Cambria Math"/>
                    <w:color w:val="0D0D0D"/>
                    <w:sz w:val="18"/>
                    <w:lang w:val="en-US"/>
                  </w:rPr>
                  <m:t>(</m:t>
                </m:r>
                <m:r>
                  <w:rPr>
                    <w:rFonts w:ascii="Cambria Math" w:hAnsi="Cambria Math"/>
                    <w:color w:val="0D0D0D"/>
                    <w:sz w:val="18"/>
                  </w:rPr>
                  <m:t>t</m:t>
                </m:r>
                <m:r>
                  <w:rPr>
                    <w:rFonts w:ascii="Cambria Math" w:hAnsi="Cambria Math"/>
                    <w:color w:val="0D0D0D"/>
                    <w:sz w:val="18"/>
                    <w:lang w:val="en-US"/>
                  </w:rPr>
                  <m:t>)</m:t>
                </m:r>
                <m:sSub>
                  <m:sSubPr>
                    <m:ctrlPr>
                      <w:rPr>
                        <w:rFonts w:ascii="Cambria Math" w:hAnsi="Cambria Math"/>
                        <w:i/>
                        <w:color w:val="0D0D0D"/>
                        <w:sz w:val="18"/>
                      </w:rPr>
                    </m:ctrlPr>
                  </m:sSubPr>
                  <m:e>
                    <m:r>
                      <w:rPr>
                        <w:rFonts w:ascii="Cambria Math" w:hAnsi="Cambria Math"/>
                        <w:color w:val="0D0D0D"/>
                        <w:sz w:val="18"/>
                      </w:rPr>
                      <m:t>dt</m:t>
                    </m:r>
                  </m:e>
                  <m:sub>
                    <m:r>
                      <w:rPr>
                        <w:rFonts w:ascii="Cambria Math" w:hAnsi="Cambria Math"/>
                        <w:color w:val="0D0D0D"/>
                        <w:sz w:val="18"/>
                      </w:rPr>
                      <m:t>rebound</m:t>
                    </m:r>
                  </m:sub>
                </m:sSub>
              </m:oMath>
            </m:oMathPara>
          </w:p>
        </w:tc>
        <w:tc>
          <w:tcPr>
            <w:tcW w:w="5391" w:type="dxa"/>
            <w:tcBorders>
              <w:top w:val="nil"/>
              <w:left w:val="nil"/>
              <w:bottom w:val="single" w:sz="4" w:space="0" w:color="auto"/>
              <w:right w:val="nil"/>
            </w:tcBorders>
          </w:tcPr>
          <w:p w14:paraId="0087FC6E"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rebound</m:t>
                  </m:r>
                </m:sub>
              </m:sSub>
            </m:oMath>
            <w:r w:rsidRPr="00CA7A69">
              <w:rPr>
                <w:rFonts w:ascii="Palatino Linotype" w:hAnsi="Palatino Linotype"/>
                <w:color w:val="0D0D0D"/>
                <w:sz w:val="16"/>
                <w:szCs w:val="18"/>
                <w:lang w:val="en-GB"/>
              </w:rPr>
              <w:t>: heating power during the rebound effect period</w:t>
            </w:r>
          </w:p>
          <w:p w14:paraId="7BEBB5E3"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ref</m:t>
                  </m:r>
                </m:sub>
              </m:sSub>
            </m:oMath>
            <w:r w:rsidRPr="00CA7A69">
              <w:rPr>
                <w:rFonts w:ascii="Palatino Linotype" w:hAnsi="Palatino Linotype"/>
                <w:color w:val="0D0D0D"/>
                <w:sz w:val="16"/>
                <w:szCs w:val="18"/>
                <w:lang w:val="en-GB"/>
              </w:rPr>
              <w:t>: heating power during the ref. case</w:t>
            </w:r>
          </w:p>
          <w:p w14:paraId="1CADD2EF"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dt</m:t>
                  </m:r>
                </m:e>
                <m:sub>
                  <m:r>
                    <w:rPr>
                      <w:rFonts w:ascii="Cambria Math" w:hAnsi="Cambria Math"/>
                      <w:color w:val="0D0D0D"/>
                      <w:sz w:val="16"/>
                      <w:szCs w:val="18"/>
                    </w:rPr>
                    <m:t>rebound</m:t>
                  </m:r>
                </m:sub>
              </m:sSub>
            </m:oMath>
            <w:r w:rsidRPr="00CA7A69">
              <w:rPr>
                <w:rFonts w:ascii="Palatino Linotype" w:hAnsi="Palatino Linotype"/>
                <w:color w:val="0D0D0D"/>
                <w:sz w:val="16"/>
                <w:szCs w:val="18"/>
                <w:lang w:val="en-GB"/>
              </w:rPr>
              <w:t>: duration of time after the end of the downward flex. event before ref. operation</w:t>
            </w:r>
          </w:p>
        </w:tc>
        <w:tc>
          <w:tcPr>
            <w:tcW w:w="1413" w:type="dxa"/>
            <w:tcBorders>
              <w:top w:val="nil"/>
              <w:left w:val="nil"/>
              <w:bottom w:val="single" w:sz="4" w:space="0" w:color="auto"/>
              <w:right w:val="nil"/>
            </w:tcBorders>
            <w:vAlign w:val="center"/>
          </w:tcPr>
          <w:p w14:paraId="5381D771" w14:textId="341D80F4" w:rsidR="00CA7A69" w:rsidRPr="00CA7A69" w:rsidRDefault="00CA7A69" w:rsidP="00CA7A69">
            <w:pPr>
              <w:spacing w:before="20" w:line="360" w:lineRule="auto"/>
              <w:jc w:val="both"/>
              <w:rPr>
                <w:color w:val="0D0D0D"/>
                <w:sz w:val="14"/>
                <w:szCs w:val="16"/>
                <w:lang w:val="en-US"/>
              </w:rPr>
            </w:pPr>
            <w:r w:rsidRPr="00CA7A69">
              <w:rPr>
                <w:color w:val="0D0D0D"/>
                <w:sz w:val="14"/>
                <w:szCs w:val="16"/>
              </w:rPr>
              <w:fldChar w:fldCharType="begin" w:fldLock="1"/>
            </w:r>
            <w:r w:rsidR="001D3C8C">
              <w:rPr>
                <w:color w:val="0D0D0D"/>
                <w:sz w:val="14"/>
                <w:szCs w:val="16"/>
                <w:lang w:val="en-US"/>
              </w:rPr>
              <w:instrText>ADDIN CSL_CITATION {"citationItems":[{"id":"ITEM-1","itemData":{"DOI":"10.1016/j.enbuild.2018.09.030","ISSN":"03787788","abstract":"Energy flexibility is proposed as a cost-effective solution facilitating secure operation of the energy system while integrating large share of renewables. With strict building regulations in Denmark, newly built buildings are low-energy buildings. In order to identify the role of low-energy buildings in the energy system, we investigated the physical potential for flexibility and analysed the thermal storage capacity existing inherently in the structural mass. Two building types were studied: single-family house and apartment block. The aim is to quantify the energy that can be added to or curtailed from each building during a time period without compromising thermal comfort. Different scenarios (starting time and duration), building design characteristics and boundary conditions were studied. The findings showed that low-energy buildings are highly robust and can remain autonomous for several hours. Although for individual buildings the available energy for curtailment is limited, if many buildings are aggregated energy flexibility becomes significant. The potential for storage in the thermal mass is considerable. The analysis presented high dependence of flexibility potential on boundary conditions (ambient temperature, solar radiation, internal gains) and underlined the importance of envelope insulation. Heat losses govern the potential for flexibility, while the walls’ thermal mass has a secondary influence.","author":[{"dropping-particle":"","family":"Foteinaki","given":"Kyriaki","non-dropping-particle":"","parse-names":false,"suffix":""},{"dropping-particle":"","family":"Li","given":"Rongling","non-dropping-particle":"","parse-names":false,"suffix":""},{"dropping-particle":"","family":"Heller","given":"Alfred","non-dropping-particle":"","parse-names":false,"suffix":""},{"dropping-particle":"","family":"Rode","given":"Carsten","non-dropping-particle":"","parse-names":false,"suffix":""}],"container-title":"Energy and Buildings","id":"ITEM-1","issued":{"date-parts":[["2018"]]},"page":"95-108","publisher":"Elsevier B.V.","title":"Heating system energy flexibility of low-energy residential buildings","type":"article-journal","volume":"180"},"uris":["http://www.mendeley.com/documents/?uuid=f3fac13f-87be-443a-ab84-126567759852"]}],"mendeley":{"formattedCitation":"(Foteinaki et al., 2018)","plainTextFormattedCitation":"(Foteinaki et al., 2018)","previouslyFormattedCitation":"(Foteinaki et al. 2018)"},"properties":{"noteIndex":0},"schema":"https://github.com/citation-style-language/schema/raw/master/csl-citation.json"}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US"/>
              </w:rPr>
              <w:t>(Foteinaki et al., 2018)</w:t>
            </w:r>
            <w:r w:rsidRPr="00CA7A69">
              <w:rPr>
                <w:color w:val="0D0D0D"/>
                <w:sz w:val="14"/>
                <w:szCs w:val="16"/>
              </w:rPr>
              <w:fldChar w:fldCharType="end"/>
            </w:r>
          </w:p>
        </w:tc>
      </w:tr>
      <w:tr w:rsidR="00CA7A69" w:rsidRPr="00CA7A69" w14:paraId="20C8FE56" w14:textId="77777777" w:rsidTr="00B078C2">
        <w:trPr>
          <w:trHeight w:val="478"/>
          <w:jc w:val="center"/>
        </w:trPr>
        <w:tc>
          <w:tcPr>
            <w:tcW w:w="546" w:type="dxa"/>
            <w:tcBorders>
              <w:top w:val="single" w:sz="4" w:space="0" w:color="auto"/>
              <w:left w:val="nil"/>
              <w:bottom w:val="nil"/>
              <w:right w:val="nil"/>
            </w:tcBorders>
            <w:vAlign w:val="center"/>
          </w:tcPr>
          <w:p w14:paraId="360FD6FE" w14:textId="614A9768" w:rsidR="00CA7A69" w:rsidRPr="00CA7A69" w:rsidRDefault="00963DC1"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1.7</w:t>
            </w:r>
          </w:p>
        </w:tc>
        <w:tc>
          <w:tcPr>
            <w:tcW w:w="3024" w:type="dxa"/>
            <w:tcBorders>
              <w:top w:val="single" w:sz="4" w:space="0" w:color="auto"/>
              <w:left w:val="nil"/>
              <w:bottom w:val="nil"/>
              <w:right w:val="nil"/>
            </w:tcBorders>
            <w:vAlign w:val="center"/>
          </w:tcPr>
          <w:p w14:paraId="18B7A3D8" w14:textId="77777777" w:rsidR="00CA7A69" w:rsidRPr="00CA7A69" w:rsidRDefault="00CA7A69" w:rsidP="00CA7A69">
            <w:pPr>
              <w:spacing w:before="6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Self-consumption during DR action</w:t>
            </w:r>
          </w:p>
        </w:tc>
        <w:tc>
          <w:tcPr>
            <w:tcW w:w="3964" w:type="dxa"/>
            <w:tcBorders>
              <w:top w:val="single" w:sz="4" w:space="0" w:color="auto"/>
              <w:left w:val="nil"/>
              <w:bottom w:val="nil"/>
              <w:right w:val="nil"/>
            </w:tcBorders>
            <w:vAlign w:val="center"/>
          </w:tcPr>
          <w:p w14:paraId="58155994" w14:textId="77777777" w:rsidR="00CA7A69" w:rsidRPr="00CA7A69" w:rsidRDefault="005B195F" w:rsidP="00CA7A69">
            <w:pPr>
              <w:jc w:val="center"/>
              <w:rPr>
                <w:rFonts w:eastAsia="Calibri"/>
                <w:sz w:val="18"/>
                <w:lang w:val="en-GB"/>
              </w:rPr>
            </w:pPr>
            <m:oMathPara>
              <m:oMathParaPr>
                <m:jc m:val="left"/>
              </m:oMathParaPr>
              <m:oMath>
                <m:sSub>
                  <m:sSubPr>
                    <m:ctrlPr>
                      <w:rPr>
                        <w:rFonts w:ascii="Cambria Math" w:hAnsi="Cambria Math"/>
                        <w:i/>
                        <w:color w:val="0D0D0D"/>
                        <w:sz w:val="18"/>
                      </w:rPr>
                    </m:ctrlPr>
                  </m:sSubPr>
                  <m:e>
                    <m:r>
                      <w:rPr>
                        <w:rFonts w:ascii="Cambria Math" w:hAnsi="Cambria Math"/>
                        <w:color w:val="0D0D0D"/>
                        <w:sz w:val="18"/>
                      </w:rPr>
                      <m:t>SC</m:t>
                    </m:r>
                  </m:e>
                  <m:sub>
                    <m:r>
                      <w:rPr>
                        <w:rFonts w:ascii="Cambria Math" w:hAnsi="Cambria Math"/>
                        <w:color w:val="0D0D0D"/>
                        <w:sz w:val="18"/>
                      </w:rPr>
                      <m:t>DR</m:t>
                    </m:r>
                  </m:sub>
                </m:sSub>
                <m:r>
                  <w:rPr>
                    <w:rFonts w:ascii="Cambria Math" w:hAnsi="Cambria Math"/>
                    <w:color w:val="0D0D0D"/>
                    <w:sz w:val="18"/>
                    <w:lang w:val="en-GB"/>
                  </w:rPr>
                  <m:t>=</m:t>
                </m:r>
                <m:f>
                  <m:fPr>
                    <m:ctrlPr>
                      <w:rPr>
                        <w:rFonts w:ascii="Cambria Math" w:hAnsi="Cambria Math"/>
                        <w:i/>
                        <w:color w:val="0D0D0D"/>
                        <w:sz w:val="18"/>
                      </w:rPr>
                    </m:ctrlPr>
                  </m:fPr>
                  <m:num>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lang w:val="en-GB"/>
                          </w:rPr>
                          <m:t>∞</m:t>
                        </m:r>
                      </m:sup>
                      <m:e>
                        <m:r>
                          <w:rPr>
                            <w:rFonts w:ascii="Cambria Math" w:hAnsi="Cambria Math"/>
                            <w:color w:val="0D0D0D"/>
                            <w:sz w:val="18"/>
                            <w:lang w:val="en-GB"/>
                          </w:rPr>
                          <m:t>max⁡(min⁡(</m:t>
                        </m:r>
                        <m:sSub>
                          <m:sSubPr>
                            <m:ctrlPr>
                              <w:rPr>
                                <w:rFonts w:ascii="Cambria Math" w:hAnsi="Cambria Math"/>
                                <w:i/>
                                <w:color w:val="0D0D0D"/>
                                <w:sz w:val="18"/>
                                <w:lang w:val="en-GB"/>
                              </w:rPr>
                            </m:ctrlPr>
                          </m:sSubPr>
                          <m:e>
                            <m:r>
                              <w:rPr>
                                <w:rFonts w:ascii="Cambria Math" w:hAnsi="Cambria Math"/>
                                <w:color w:val="0D0D0D"/>
                                <w:sz w:val="18"/>
                                <w:lang w:val="en-GB"/>
                              </w:rPr>
                              <m:t>P</m:t>
                            </m:r>
                          </m:e>
                          <m:sub>
                            <m:r>
                              <w:rPr>
                                <w:rFonts w:ascii="Cambria Math" w:hAnsi="Cambria Math"/>
                                <w:color w:val="0D0D0D"/>
                                <w:sz w:val="18"/>
                                <w:lang w:val="en-GB"/>
                              </w:rPr>
                              <m:t>mod</m:t>
                            </m:r>
                          </m:sub>
                        </m:sSub>
                        <m:r>
                          <w:rPr>
                            <w:rFonts w:ascii="Cambria Math" w:hAnsi="Cambria Math"/>
                            <w:color w:val="0D0D0D"/>
                            <w:sz w:val="18"/>
                            <w:lang w:val="en-GB"/>
                          </w:rPr>
                          <m:t>,</m:t>
                        </m:r>
                        <m:sSub>
                          <m:sSubPr>
                            <m:ctrlPr>
                              <w:rPr>
                                <w:rFonts w:ascii="Cambria Math" w:hAnsi="Cambria Math"/>
                                <w:i/>
                                <w:color w:val="0D0D0D"/>
                                <w:sz w:val="18"/>
                                <w:lang w:val="en-GB"/>
                              </w:rPr>
                            </m:ctrlPr>
                          </m:sSubPr>
                          <m:e>
                            <m:r>
                              <w:rPr>
                                <w:rFonts w:ascii="Cambria Math" w:hAnsi="Cambria Math"/>
                                <w:color w:val="0D0D0D"/>
                                <w:sz w:val="18"/>
                                <w:lang w:val="en-GB"/>
                              </w:rPr>
                              <m:t>P</m:t>
                            </m:r>
                          </m:e>
                          <m:sub>
                            <m:r>
                              <w:rPr>
                                <w:rFonts w:ascii="Cambria Math" w:hAnsi="Cambria Math"/>
                                <w:color w:val="0D0D0D"/>
                                <w:sz w:val="18"/>
                                <w:lang w:val="en-GB"/>
                              </w:rPr>
                              <m:t>RES</m:t>
                            </m:r>
                          </m:sub>
                        </m:sSub>
                        <m:r>
                          <w:rPr>
                            <w:rFonts w:ascii="Cambria Math" w:hAnsi="Cambria Math"/>
                            <w:color w:val="0D0D0D"/>
                            <w:sz w:val="18"/>
                            <w:lang w:val="en-GB"/>
                          </w:rPr>
                          <m:t>)</m:t>
                        </m:r>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m:t>
                    </m:r>
                  </m:num>
                  <m:den>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m:t>
                        </m:r>
                      </m:sup>
                      <m:e>
                        <m:r>
                          <w:rPr>
                            <w:rFonts w:ascii="Cambria Math" w:hAnsi="Cambria Math"/>
                            <w:color w:val="0D0D0D"/>
                            <w:sz w:val="18"/>
                            <w:lang w:val="en-GB"/>
                          </w:rPr>
                          <m:t>max⁡((</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mod</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m:t>
                    </m:r>
                  </m:den>
                </m:f>
              </m:oMath>
            </m:oMathPara>
          </w:p>
        </w:tc>
        <w:tc>
          <w:tcPr>
            <w:tcW w:w="5391" w:type="dxa"/>
            <w:tcBorders>
              <w:top w:val="single" w:sz="4" w:space="0" w:color="auto"/>
              <w:left w:val="nil"/>
              <w:bottom w:val="nil"/>
              <w:right w:val="nil"/>
            </w:tcBorders>
          </w:tcPr>
          <w:p w14:paraId="461A60E0"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m:t>
                  </m:r>
                </m:e>
                <m:sub>
                  <m:r>
                    <w:rPr>
                      <w:rFonts w:ascii="Cambria Math" w:hAnsi="Cambria Math"/>
                      <w:color w:val="0D0D0D"/>
                      <w:sz w:val="16"/>
                      <w:szCs w:val="18"/>
                    </w:rPr>
                    <m:t>RES</m:t>
                  </m:r>
                </m:sub>
              </m:sSub>
            </m:oMath>
            <w:r w:rsidRPr="00CA7A69">
              <w:rPr>
                <w:rFonts w:ascii="Palatino Linotype" w:hAnsi="Palatino Linotype"/>
                <w:color w:val="0D0D0D"/>
                <w:sz w:val="16"/>
                <w:szCs w:val="18"/>
                <w:lang w:val="en-GB"/>
              </w:rPr>
              <w:t>:  onsite electricity generation</w:t>
            </w:r>
          </w:p>
          <w:p w14:paraId="7D03509B"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m:t>
                  </m:r>
                </m:e>
                <m:sub>
                  <m:r>
                    <w:rPr>
                      <w:rFonts w:ascii="Cambria Math" w:hAnsi="Cambria Math"/>
                      <w:color w:val="0D0D0D"/>
                      <w:sz w:val="16"/>
                      <w:szCs w:val="18"/>
                    </w:rPr>
                    <m:t>mod</m:t>
                  </m:r>
                </m:sub>
              </m:sSub>
            </m:oMath>
            <w:r w:rsidRPr="00CA7A69">
              <w:rPr>
                <w:rFonts w:ascii="Palatino Linotype" w:hAnsi="Palatino Linotype"/>
                <w:color w:val="0D0D0D"/>
                <w:sz w:val="16"/>
                <w:szCs w:val="18"/>
                <w:lang w:val="en-GB"/>
              </w:rPr>
              <w:t>: electric load during the flex. Event</w:t>
            </w:r>
          </w:p>
        </w:tc>
        <w:tc>
          <w:tcPr>
            <w:tcW w:w="1413" w:type="dxa"/>
            <w:tcBorders>
              <w:top w:val="single" w:sz="4" w:space="0" w:color="auto"/>
              <w:left w:val="nil"/>
              <w:bottom w:val="nil"/>
              <w:right w:val="nil"/>
            </w:tcBorders>
            <w:vAlign w:val="center"/>
          </w:tcPr>
          <w:p w14:paraId="03384558" w14:textId="330F46E4" w:rsidR="00CA7A69" w:rsidRPr="00CA7A69" w:rsidRDefault="00CA7A69" w:rsidP="00CA7A69">
            <w:pPr>
              <w:spacing w:before="20" w:line="360" w:lineRule="auto"/>
              <w:jc w:val="both"/>
              <w:rPr>
                <w:color w:val="0D0D0D"/>
                <w:sz w:val="14"/>
                <w:szCs w:val="16"/>
              </w:rPr>
            </w:pPr>
            <w:r w:rsidRPr="00CA7A69">
              <w:rPr>
                <w:color w:val="0D0D0D"/>
                <w:sz w:val="14"/>
                <w:szCs w:val="16"/>
              </w:rPr>
              <w:fldChar w:fldCharType="begin" w:fldLock="1"/>
            </w:r>
            <w:r w:rsidR="001D3C8C">
              <w:rPr>
                <w:color w:val="0D0D0D"/>
                <w:sz w:val="14"/>
                <w:szCs w:val="16"/>
              </w:rPr>
              <w:instrText>ADDIN CSL_CITATION {"citationItems":[{"id":"ITEM-1","itemData":{"DOI":"10.1016/j.apenergy.2020.116096","ISSN":"03062619","abstract":"To date, the energy flexibility assessment of multicomponent electrical and thermal systems in residential buildings is hindered by the lack of adequate indicators due to the different interpretations, properties, and requirements that characterise an energy flexible building. This paper addresses this knowledge gap by presenting a fundamental energy flexibility quantification framework applicable to various energy systems commonly found in residential buildings (i.e., heat pumps, renewables, thermal and electrical storage systems). Using this framework, the interactions between these systems are analysed, as well as assessing the net energy cost of providing flexibility arising from demand response actions where onsite electricity production is present. A calibrated white-box model of a residential building developed using EnergyPlus (including inter alia a ground source heat pump, a battery storage system, and an electric vehicle) is utilised. To acquire daily energy flexibility mappings, hourly independent, and consecutive demand response actions are imposed for each energy system, using the proposed indicators. The obtained flexibility maps give insights into both the energy volumes associated with demand response actions and qualitative characteristics of the modulated electricity consumption curves. The flexibility potential of each studied energy system is determined by weather and occupant thermal comfort preferences as well as the use of appliances, lighting, etc. Finally, simulations show that zone and water tank thermostat modulations can be suitably combined to shift rebound occurrences away from peak demand periods. These insights can be used by electricity aggregators to evaluate a portfolio of buildings or optimally harness the flexibility of each energy system to shift peak demand consumption to off-peak periods or periods of excess onsite electricity generation.","author":[{"dropping-particle":"","family":"Bampoulas","given":"Adamantios","non-dropping-particle":"","parse-names":false,"suffix":""},{"dropping-particle":"","family":"Saffari","given":"Mohammad","non-dropping-particle":"","parse-names":false,"suffix":""},{"dropping-particle":"","family":"Pallonetto","given":"Fabiano","non-dropping-particle":"","parse-names":false,"suffix":""},{"dropping-particle":"","family":"Mangina","given":"Eleni","non-dropping-particle":"","parse-names":false,"suffix":""},{"dropping-particle":"","family":"Finn","given":"Donal P.","non-dropping-particle":"","parse-names":false,"suffix":""}],"container-title":"Applied Energy","id":"ITEM-1","issue":"PA","issued":{"date-parts":[["2021"]]},"page":"116096","publisher":"Elsevier Ltd","title":"A fundamental unified framework to quantify and characterise energy flexibility of residential buildings with multiple electrical and thermal energy systems","type":"article-journal","volume":"282"},"uris":["http://www.mendeley.com/documents/?uuid=720bc581-0c77-4d20-a0b0-1f81aaa0c960"]}],"mendeley":{"formattedCitation":"(Bampoulas et al., 2021)","plainTextFormattedCitation":"(Bampoulas et al., 2021)","previouslyFormattedCitation":"(Bampoulas et al. 2021)"},"properties":{"noteIndex":0},"schema":"https://github.com/citation-style-language/schema/raw/master/csl-citation.json"}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(Bampoulas et al., 2021)</w:t>
            </w:r>
            <w:r w:rsidRPr="00CA7A69">
              <w:rPr>
                <w:color w:val="0D0D0D"/>
                <w:sz w:val="14"/>
                <w:szCs w:val="16"/>
              </w:rPr>
              <w:fldChar w:fldCharType="end"/>
            </w:r>
          </w:p>
        </w:tc>
      </w:tr>
      <w:tr w:rsidR="00CA7A69" w:rsidRPr="00CA7A69" w14:paraId="1305472F" w14:textId="77777777" w:rsidTr="00567522">
        <w:trPr>
          <w:trHeight w:val="478"/>
          <w:jc w:val="center"/>
        </w:trPr>
        <w:tc>
          <w:tcPr>
            <w:tcW w:w="546" w:type="dxa"/>
            <w:tcBorders>
              <w:top w:val="nil"/>
              <w:left w:val="nil"/>
              <w:bottom w:val="nil"/>
              <w:right w:val="nil"/>
            </w:tcBorders>
            <w:vAlign w:val="center"/>
          </w:tcPr>
          <w:p w14:paraId="59D1FA04" w14:textId="19274FCF" w:rsidR="00CA7A69" w:rsidRPr="00CA7A69" w:rsidRDefault="004071A4"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4</w:t>
            </w:r>
            <w:r w:rsidR="00123E03">
              <w:rPr>
                <w:rFonts w:ascii="Palatino Linotype" w:hAnsi="Palatino Linotype"/>
                <w:color w:val="0D0D0D"/>
                <w:sz w:val="14"/>
                <w:szCs w:val="16"/>
                <w:lang w:val="en-GB"/>
              </w:rPr>
              <w:t>.</w:t>
            </w:r>
            <w:r w:rsidR="00201252">
              <w:rPr>
                <w:rFonts w:ascii="Palatino Linotype" w:hAnsi="Palatino Linotype"/>
                <w:color w:val="0D0D0D"/>
                <w:sz w:val="14"/>
                <w:szCs w:val="16"/>
                <w:lang w:val="en-GB"/>
              </w:rPr>
              <w:t>3</w:t>
            </w:r>
          </w:p>
        </w:tc>
        <w:tc>
          <w:tcPr>
            <w:tcW w:w="3024" w:type="dxa"/>
            <w:tcBorders>
              <w:top w:val="nil"/>
              <w:left w:val="nil"/>
              <w:bottom w:val="nil"/>
              <w:right w:val="nil"/>
            </w:tcBorders>
            <w:vAlign w:val="center"/>
          </w:tcPr>
          <w:p w14:paraId="677154F3" w14:textId="77777777" w:rsidR="00CA7A69" w:rsidRPr="00CA7A69" w:rsidRDefault="00CA7A69" w:rsidP="00CA7A69">
            <w:pPr>
              <w:spacing w:before="6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Storage capacity (</w:t>
            </w:r>
            <m:oMath>
              <m:sSub>
                <m:sSubPr>
                  <m:ctrlPr>
                    <w:rPr>
                      <w:rFonts w:ascii="Cambria Math" w:hAnsi="Cambria Math"/>
                      <w:i/>
                      <w:color w:val="0D0D0D"/>
                      <w:sz w:val="16"/>
                      <w:szCs w:val="18"/>
                    </w:rPr>
                  </m:ctrlPr>
                </m:sSubPr>
                <m:e>
                  <m:r>
                    <w:rPr>
                      <w:rFonts w:ascii="Cambria Math" w:hAnsi="Cambria Math"/>
                      <w:color w:val="0D0D0D"/>
                      <w:sz w:val="16"/>
                      <w:szCs w:val="18"/>
                    </w:rPr>
                    <m:t>C</m:t>
                  </m:r>
                </m:e>
                <m:sub>
                  <m:r>
                    <w:rPr>
                      <w:rFonts w:ascii="Cambria Math" w:hAnsi="Cambria Math"/>
                      <w:color w:val="0D0D0D"/>
                      <w:sz w:val="16"/>
                      <w:szCs w:val="18"/>
                    </w:rPr>
                    <m:t>DF</m:t>
                  </m:r>
                </m:sub>
              </m:sSub>
            </m:oMath>
            <w:r w:rsidRPr="00CA7A69">
              <w:rPr>
                <w:rFonts w:ascii="Palatino Linotype" w:hAnsi="Palatino Linotype"/>
                <w:color w:val="0D0D0D"/>
                <w:sz w:val="16"/>
                <w:szCs w:val="18"/>
                <w:lang w:val="en-GB"/>
              </w:rPr>
              <w:t xml:space="preserve"> for the downward modulation, </w:t>
            </w:r>
            <m:oMath>
              <m:sSub>
                <m:sSubPr>
                  <m:ctrlPr>
                    <w:rPr>
                      <w:rFonts w:ascii="Cambria Math" w:hAnsi="Cambria Math"/>
                      <w:i/>
                      <w:color w:val="0D0D0D"/>
                      <w:sz w:val="16"/>
                      <w:szCs w:val="18"/>
                    </w:rPr>
                  </m:ctrlPr>
                </m:sSubPr>
                <m:e>
                  <m:r>
                    <w:rPr>
                      <w:rFonts w:ascii="Cambria Math" w:hAnsi="Cambria Math"/>
                      <w:color w:val="0D0D0D"/>
                      <w:sz w:val="16"/>
                      <w:szCs w:val="18"/>
                    </w:rPr>
                    <m:t>C</m:t>
                  </m:r>
                </m:e>
                <m:sub>
                  <m:r>
                    <w:rPr>
                      <w:rFonts w:ascii="Cambria Math" w:hAnsi="Cambria Math"/>
                      <w:color w:val="0D0D0D"/>
                      <w:sz w:val="16"/>
                      <w:szCs w:val="18"/>
                    </w:rPr>
                    <m:t>UF</m:t>
                  </m:r>
                </m:sub>
              </m:sSub>
            </m:oMath>
            <w:r w:rsidRPr="00CA7A69">
              <w:rPr>
                <w:rFonts w:ascii="Palatino Linotype" w:hAnsi="Palatino Linotype"/>
                <w:color w:val="0D0D0D"/>
                <w:sz w:val="16"/>
                <w:szCs w:val="18"/>
                <w:lang w:val="en-GB"/>
              </w:rPr>
              <w:t xml:space="preserve"> for the upward modulation)</w:t>
            </w:r>
          </w:p>
        </w:tc>
        <w:tc>
          <w:tcPr>
            <w:tcW w:w="3964" w:type="dxa"/>
            <w:tcBorders>
              <w:top w:val="nil"/>
              <w:left w:val="nil"/>
              <w:bottom w:val="nil"/>
              <w:right w:val="nil"/>
            </w:tcBorders>
            <w:vAlign w:val="center"/>
          </w:tcPr>
          <w:p w14:paraId="01D4E4E5" w14:textId="77777777" w:rsidR="00CA7A69" w:rsidRPr="00CA7A69" w:rsidRDefault="005B195F" w:rsidP="00CA7A69">
            <w:pPr>
              <w:spacing w:before="20" w:line="360" w:lineRule="auto"/>
              <w:jc w:val="center"/>
              <w:rPr>
                <w:rFonts w:eastAsia="Calibri"/>
                <w:color w:val="0D0D0D"/>
                <w:sz w:val="18"/>
              </w:rPr>
            </w:pPr>
            <m:oMathPara>
              <m:oMathParaPr>
                <m:jc m:val="left"/>
              </m:oMathParaPr>
              <m:oMath>
                <m:sSub>
                  <m:sSubPr>
                    <m:ctrlPr>
                      <w:rPr>
                        <w:rFonts w:ascii="Cambria Math" w:hAnsi="Cambria Math"/>
                        <w:i/>
                        <w:color w:val="0D0D0D"/>
                        <w:sz w:val="18"/>
                      </w:rPr>
                    </m:ctrlPr>
                  </m:sSubPr>
                  <m:e>
                    <m:r>
                      <w:rPr>
                        <w:rFonts w:ascii="Cambria Math" w:hAnsi="Cambria Math"/>
                        <w:color w:val="0D0D0D"/>
                        <w:sz w:val="18"/>
                      </w:rPr>
                      <m:t>C</m:t>
                    </m:r>
                  </m:e>
                  <m:sub>
                    <m:r>
                      <w:rPr>
                        <w:rFonts w:ascii="Cambria Math" w:hAnsi="Cambria Math"/>
                        <w:color w:val="0D0D0D"/>
                        <w:sz w:val="18"/>
                      </w:rPr>
                      <m:t>DF</m:t>
                    </m:r>
                  </m:sub>
                </m:sSub>
                <m:r>
                  <w:rPr>
                    <w:rFonts w:ascii="Cambria Math" w:hAnsi="Cambria Math"/>
                    <w:color w:val="0D0D0D"/>
                    <w:sz w:val="18"/>
                    <w:lang w:val="en-US"/>
                  </w:rPr>
                  <m:t>=</m:t>
                </m:r>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m:t>
                    </m:r>
                  </m:sup>
                  <m:e>
                    <m:r>
                      <m:rPr>
                        <m:sty m:val="p"/>
                      </m:rPr>
                      <w:rPr>
                        <w:rFonts w:ascii="Cambria Math" w:hAnsi="Cambria Math"/>
                        <w:color w:val="0D0D0D"/>
                        <w:sz w:val="18"/>
                        <w:lang w:val="en-GB"/>
                      </w:rPr>
                      <m:t>|max⁡</m:t>
                    </m:r>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mod</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m:t>
                </m:r>
              </m:oMath>
            </m:oMathPara>
          </w:p>
          <w:p w14:paraId="5F5DC6E8" w14:textId="77777777" w:rsidR="00CA7A69" w:rsidRPr="00CA7A69" w:rsidRDefault="005B195F" w:rsidP="00CA7A69">
            <w:pPr>
              <w:spacing w:before="20" w:line="360" w:lineRule="auto"/>
              <w:jc w:val="center"/>
              <w:rPr>
                <w:rFonts w:eastAsia="Calibri"/>
                <w:color w:val="0D0D0D"/>
                <w:sz w:val="18"/>
              </w:rPr>
            </w:pPr>
            <m:oMathPara>
              <m:oMathParaPr>
                <m:jc m:val="left"/>
              </m:oMathParaPr>
              <m:oMath>
                <m:sSub>
                  <m:sSubPr>
                    <m:ctrlPr>
                      <w:rPr>
                        <w:rFonts w:ascii="Cambria Math" w:hAnsi="Cambria Math"/>
                        <w:i/>
                        <w:color w:val="0D0D0D"/>
                        <w:sz w:val="18"/>
                      </w:rPr>
                    </m:ctrlPr>
                  </m:sSubPr>
                  <m:e>
                    <m:r>
                      <w:rPr>
                        <w:rFonts w:ascii="Cambria Math" w:hAnsi="Cambria Math"/>
                        <w:color w:val="0D0D0D"/>
                        <w:sz w:val="18"/>
                      </w:rPr>
                      <m:t>C</m:t>
                    </m:r>
                  </m:e>
                  <m:sub>
                    <m:r>
                      <w:rPr>
                        <w:rFonts w:ascii="Cambria Math" w:hAnsi="Cambria Math"/>
                        <w:color w:val="0D0D0D"/>
                        <w:sz w:val="18"/>
                      </w:rPr>
                      <m:t>UF</m:t>
                    </m:r>
                  </m:sub>
                </m:sSub>
                <m:r>
                  <w:rPr>
                    <w:rFonts w:ascii="Cambria Math" w:hAnsi="Cambria Math"/>
                    <w:color w:val="0D0D0D"/>
                    <w:sz w:val="18"/>
                    <w:lang w:val="en-US"/>
                  </w:rPr>
                  <m:t>=</m:t>
                </m:r>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m:t>
                    </m:r>
                  </m:sup>
                  <m:e>
                    <m:r>
                      <m:rPr>
                        <m:sty m:val="p"/>
                      </m:rPr>
                      <w:rPr>
                        <w:rFonts w:ascii="Cambria Math" w:hAnsi="Cambria Math"/>
                        <w:color w:val="0D0D0D"/>
                        <w:sz w:val="18"/>
                        <w:lang w:val="en-GB"/>
                      </w:rPr>
                      <m:t>|max⁡</m:t>
                    </m:r>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mod</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m:t>
                </m:r>
              </m:oMath>
            </m:oMathPara>
          </w:p>
        </w:tc>
        <w:tc>
          <w:tcPr>
            <w:tcW w:w="5391" w:type="dxa"/>
            <w:tcBorders>
              <w:top w:val="nil"/>
              <w:left w:val="nil"/>
              <w:bottom w:val="nil"/>
              <w:right w:val="nil"/>
            </w:tcBorders>
          </w:tcPr>
          <w:p w14:paraId="2BA4A872"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m:t>
                  </m:r>
                </m:e>
                <m:sub>
                  <m:r>
                    <w:rPr>
                      <w:rFonts w:ascii="Cambria Math" w:hAnsi="Cambria Math"/>
                      <w:color w:val="0D0D0D"/>
                      <w:sz w:val="16"/>
                      <w:szCs w:val="18"/>
                    </w:rPr>
                    <m:t>ref</m:t>
                  </m:r>
                </m:sub>
              </m:sSub>
            </m:oMath>
            <w:r w:rsidRPr="00CA7A69">
              <w:rPr>
                <w:rFonts w:ascii="Palatino Linotype" w:hAnsi="Palatino Linotype"/>
                <w:color w:val="0D0D0D"/>
                <w:sz w:val="16"/>
                <w:szCs w:val="18"/>
                <w:lang w:val="en-GB"/>
              </w:rPr>
              <w:t>: electric load during the ref. event</w:t>
            </w:r>
          </w:p>
        </w:tc>
        <w:tc>
          <w:tcPr>
            <w:tcW w:w="1413" w:type="dxa"/>
            <w:tcBorders>
              <w:top w:val="nil"/>
              <w:left w:val="nil"/>
              <w:bottom w:val="nil"/>
              <w:right w:val="nil"/>
            </w:tcBorders>
            <w:vAlign w:val="center"/>
          </w:tcPr>
          <w:p w14:paraId="66DEF90D" w14:textId="45586AC9" w:rsidR="00CA7A69" w:rsidRPr="00CA7A69" w:rsidRDefault="00CA7A69" w:rsidP="00CA7A69">
            <w:pPr>
              <w:spacing w:before="20" w:line="360" w:lineRule="auto"/>
              <w:jc w:val="both"/>
              <w:rPr>
                <w:color w:val="0D0D0D"/>
                <w:sz w:val="14"/>
                <w:szCs w:val="16"/>
              </w:rPr>
            </w:pPr>
            <w:r w:rsidRPr="00CA7A69">
              <w:rPr>
                <w:color w:val="0D0D0D"/>
                <w:sz w:val="14"/>
                <w:szCs w:val="16"/>
              </w:rPr>
              <w:fldChar w:fldCharType="begin" w:fldLock="1"/>
            </w:r>
            <w:r w:rsidR="001D3C8C">
              <w:rPr>
                <w:color w:val="0D0D0D"/>
                <w:sz w:val="14"/>
                <w:szCs w:val="16"/>
              </w:rPr>
              <w:instrText>ADDIN CSL_CITATION {"citationItems":[{"id":"ITEM-1","itemData":{"DOI":"10.1016/j.apenergy.2020.116096","ISSN":"03062619","abstract":"To date, the energy flexibility assessment of multicomponent electrical and thermal systems in residential buildings is hindered by the lack of adequate indicators due to the different interpretations, properties, and requirements that characterise an energy flexible building. This paper addresses this knowledge gap by presenting a fundamental energy flexibility quantification framework applicable to various energy systems commonly found in residential buildings (i.e., heat pumps, renewables, thermal and electrical storage systems). Using this framework, the interactions between these systems are analysed, as well as assessing the net energy cost of providing flexibility arising from demand response actions where onsite electricity production is present. A calibrated white-box model of a residential building developed using EnergyPlus (including inter alia a ground source heat pump, a battery storage system, and an electric vehicle) is utilised. To acquire daily energy flexibility mappings, hourly independent, and consecutive demand response actions are imposed for each energy system, using the proposed indicators. The obtained flexibility maps give insights into both the energy volumes associated with demand response actions and qualitative characteristics of the modulated electricity consumption curves. The flexibility potential of each studied energy system is determined by weather and occupant thermal comfort preferences as well as the use of appliances, lighting, etc. Finally, simulations show that zone and water tank thermostat modulations can be suitably combined to shift rebound occurrences away from peak demand periods. These insights can be used by electricity aggregators to evaluate a portfolio of buildings or optimally harness the flexibility of each energy system to shift peak demand consumption to off-peak periods or periods of excess onsite electricity generation.","author":[{"dropping-particle":"","family":"Bampoulas","given":"Adamantios","non-dropping-particle":"","parse-names":false,"suffix":""},{"dropping-particle":"","family":"Saffari","given":"Mohammad","non-dropping-particle":"","parse-names":false,"suffix":""},{"dropping-particle":"","family":"Pallonetto","given":"Fabiano","non-dropping-particle":"","parse-names":false,"suffix":""},{"dropping-particle":"","family":"Mangina","given":"Eleni","non-dropping-particle":"","parse-names":false,"suffix":""},{"dropping-particle":"","family":"Finn","given":"Donal P.","non-dropping-particle":"","parse-names":false,"suffix":""}],"container-title":"Applied Energy","id":"ITEM-1","issue":"PA","issued":{"date-parts":[["2021"]]},"page":"116096","publisher":"Elsevier Ltd","title":"A fundamental unified framework to quantify and characterise energy flexibility of residential buildings with multiple electrical and thermal energy systems","type":"article-journal","volume":"282"},"uris":["http://www.mendeley.com/documents/?uuid=720bc581-0c77-4d20-a0b0-1f81aaa0c960"]}],"mendeley":{"formattedCitation":"(Bampoulas et al., 2021)","plainTextFormattedCitation":"(Bampoulas et al., 2021)","previouslyFormattedCitation":"(Bampoulas et al. 2021)"},"properties":{"noteIndex":0},"schema":"https://github.com/citation-style-language/schema/raw/master/csl-citation.json"}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(Bampoulas et al., 2021)</w:t>
            </w:r>
            <w:r w:rsidRPr="00CA7A69">
              <w:rPr>
                <w:color w:val="0D0D0D"/>
                <w:sz w:val="14"/>
                <w:szCs w:val="16"/>
              </w:rPr>
              <w:fldChar w:fldCharType="end"/>
            </w:r>
          </w:p>
        </w:tc>
      </w:tr>
      <w:tr w:rsidR="00CA7A69" w:rsidRPr="00CA7A69" w14:paraId="407293D8" w14:textId="77777777" w:rsidTr="001450D5">
        <w:trPr>
          <w:trHeight w:val="478"/>
          <w:jc w:val="center"/>
        </w:trPr>
        <w:tc>
          <w:tcPr>
            <w:tcW w:w="546" w:type="dxa"/>
            <w:tcBorders>
              <w:top w:val="nil"/>
              <w:left w:val="nil"/>
              <w:bottom w:val="single" w:sz="4" w:space="0" w:color="auto"/>
              <w:right w:val="nil"/>
            </w:tcBorders>
            <w:vAlign w:val="center"/>
          </w:tcPr>
          <w:p w14:paraId="2531BFA5" w14:textId="2E4C14BA" w:rsidR="00CA7A69" w:rsidRPr="00CA7A69" w:rsidRDefault="004071A4" w:rsidP="00CA7A69">
            <w:pPr>
              <w:spacing w:before="6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4</w:t>
            </w:r>
            <w:r w:rsidR="00123E03">
              <w:rPr>
                <w:rFonts w:ascii="Palatino Linotype" w:hAnsi="Palatino Linotype"/>
                <w:color w:val="0D0D0D"/>
                <w:sz w:val="14"/>
                <w:szCs w:val="16"/>
                <w:lang w:val="en-GB"/>
              </w:rPr>
              <w:t>.</w:t>
            </w:r>
            <w:r w:rsidR="00201252">
              <w:rPr>
                <w:rFonts w:ascii="Palatino Linotype" w:hAnsi="Palatino Linotype"/>
                <w:color w:val="0D0D0D"/>
                <w:sz w:val="14"/>
                <w:szCs w:val="16"/>
                <w:lang w:val="en-GB"/>
              </w:rPr>
              <w:t>4</w:t>
            </w:r>
          </w:p>
        </w:tc>
        <w:tc>
          <w:tcPr>
            <w:tcW w:w="3024" w:type="dxa"/>
            <w:tcBorders>
              <w:top w:val="nil"/>
              <w:left w:val="nil"/>
              <w:bottom w:val="single" w:sz="4" w:space="0" w:color="auto"/>
              <w:right w:val="nil"/>
            </w:tcBorders>
            <w:vAlign w:val="center"/>
          </w:tcPr>
          <w:p w14:paraId="0091F25D" w14:textId="77777777" w:rsidR="00CA7A69" w:rsidRPr="00CA7A69" w:rsidRDefault="00CA7A69" w:rsidP="00CA7A69">
            <w:pPr>
              <w:spacing w:before="6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Storage efficiency (</w:t>
            </w:r>
            <m:oMath>
              <m:sSub>
                <m:sSubPr>
                  <m:ctrlPr>
                    <w:rPr>
                      <w:rFonts w:ascii="Cambria Math" w:hAnsi="Cambria Math"/>
                      <w:i/>
                      <w:color w:val="0D0D0D"/>
                      <w:sz w:val="16"/>
                      <w:szCs w:val="18"/>
                    </w:rPr>
                  </m:ctrlPr>
                </m:sSubPr>
                <m:e>
                  <m:r>
                    <w:rPr>
                      <w:rFonts w:ascii="Cambria Math" w:hAnsi="Cambria Math"/>
                      <w:color w:val="0D0D0D"/>
                      <w:sz w:val="16"/>
                      <w:szCs w:val="18"/>
                    </w:rPr>
                    <m:t>C</m:t>
                  </m:r>
                </m:e>
                <m:sub>
                  <m:r>
                    <w:rPr>
                      <w:rFonts w:ascii="Cambria Math" w:hAnsi="Cambria Math"/>
                      <w:color w:val="0D0D0D"/>
                      <w:sz w:val="16"/>
                      <w:szCs w:val="18"/>
                    </w:rPr>
                    <m:t>DF</m:t>
                  </m:r>
                </m:sub>
              </m:sSub>
            </m:oMath>
            <w:r w:rsidRPr="00CA7A69">
              <w:rPr>
                <w:rFonts w:ascii="Palatino Linotype" w:hAnsi="Palatino Linotype"/>
                <w:color w:val="0D0D0D"/>
                <w:sz w:val="16"/>
                <w:szCs w:val="18"/>
                <w:lang w:val="en-GB"/>
              </w:rPr>
              <w:t xml:space="preserve"> for the downward modulation, </w:t>
            </w:r>
            <m:oMath>
              <m:sSub>
                <m:sSubPr>
                  <m:ctrlPr>
                    <w:rPr>
                      <w:rFonts w:ascii="Cambria Math" w:hAnsi="Cambria Math"/>
                      <w:i/>
                      <w:color w:val="0D0D0D"/>
                      <w:sz w:val="16"/>
                      <w:szCs w:val="18"/>
                    </w:rPr>
                  </m:ctrlPr>
                </m:sSubPr>
                <m:e>
                  <m:r>
                    <w:rPr>
                      <w:rFonts w:ascii="Cambria Math" w:hAnsi="Cambria Math"/>
                      <w:color w:val="0D0D0D"/>
                      <w:sz w:val="16"/>
                      <w:szCs w:val="18"/>
                    </w:rPr>
                    <m:t>C</m:t>
                  </m:r>
                </m:e>
                <m:sub>
                  <m:r>
                    <w:rPr>
                      <w:rFonts w:ascii="Cambria Math" w:hAnsi="Cambria Math"/>
                      <w:color w:val="0D0D0D"/>
                      <w:sz w:val="16"/>
                      <w:szCs w:val="18"/>
                    </w:rPr>
                    <m:t>UF</m:t>
                  </m:r>
                </m:sub>
              </m:sSub>
            </m:oMath>
            <w:r w:rsidRPr="00CA7A69">
              <w:rPr>
                <w:rFonts w:ascii="Palatino Linotype" w:hAnsi="Palatino Linotype"/>
                <w:color w:val="0D0D0D"/>
                <w:sz w:val="16"/>
                <w:szCs w:val="18"/>
                <w:lang w:val="en-GB"/>
              </w:rPr>
              <w:t xml:space="preserve"> for the upward modulation)</w:t>
            </w:r>
          </w:p>
        </w:tc>
        <w:tc>
          <w:tcPr>
            <w:tcW w:w="3964" w:type="dxa"/>
            <w:tcBorders>
              <w:top w:val="nil"/>
              <w:left w:val="nil"/>
              <w:bottom w:val="single" w:sz="4" w:space="0" w:color="auto"/>
              <w:right w:val="nil"/>
            </w:tcBorders>
            <w:vAlign w:val="center"/>
          </w:tcPr>
          <w:p w14:paraId="7A0B8FF5" w14:textId="77777777" w:rsidR="00CA7A69" w:rsidRPr="00CA7A69" w:rsidRDefault="005B195F" w:rsidP="00CA7A69">
            <w:pPr>
              <w:spacing w:before="20" w:line="276" w:lineRule="auto"/>
              <w:jc w:val="center"/>
              <w:rPr>
                <w:rFonts w:eastAsia="Calibri"/>
                <w:i/>
                <w:color w:val="0D0D0D"/>
                <w:sz w:val="18"/>
              </w:rPr>
            </w:pPr>
            <m:oMathPara>
              <m:oMathParaPr>
                <m:jc m:val="left"/>
              </m:oMathParaPr>
              <m:oMath>
                <m:sSub>
                  <m:sSubPr>
                    <m:ctrlPr>
                      <w:rPr>
                        <w:rFonts w:ascii="Cambria Math" w:hAnsi="Cambria Math"/>
                        <w:i/>
                        <w:color w:val="0D0D0D"/>
                        <w:sz w:val="18"/>
                      </w:rPr>
                    </m:ctrlPr>
                  </m:sSubPr>
                  <m:e>
                    <m:r>
                      <m:rPr>
                        <m:sty m:val="p"/>
                      </m:rPr>
                      <w:rPr>
                        <w:rFonts w:ascii="Cambria Math" w:hAnsi="Cambria Math" w:cs="Cambria Math"/>
                        <w:color w:val="0D0D0D"/>
                        <w:sz w:val="18"/>
                      </w:rPr>
                      <m:t>η</m:t>
                    </m:r>
                  </m:e>
                  <m:sub>
                    <m:r>
                      <w:rPr>
                        <w:rFonts w:ascii="Cambria Math" w:hAnsi="Cambria Math"/>
                        <w:color w:val="0D0D0D"/>
                        <w:sz w:val="18"/>
                      </w:rPr>
                      <m:t>DF</m:t>
                    </m:r>
                  </m:sub>
                </m:sSub>
                <m:r>
                  <w:rPr>
                    <w:rFonts w:ascii="Cambria Math" w:hAnsi="Cambria Math"/>
                    <w:color w:val="0D0D0D"/>
                    <w:sz w:val="18"/>
                    <w:lang w:val="en-GB"/>
                  </w:rPr>
                  <m:t>=1-</m:t>
                </m:r>
                <m:f>
                  <m:fPr>
                    <m:ctrlPr>
                      <w:rPr>
                        <w:rFonts w:ascii="Cambria Math" w:hAnsi="Cambria Math"/>
                        <w:i/>
                        <w:color w:val="0D0D0D"/>
                        <w:sz w:val="18"/>
                      </w:rPr>
                    </m:ctrlPr>
                  </m:fPr>
                  <m:num>
                    <m:r>
                      <w:rPr>
                        <w:rFonts w:ascii="Cambria Math" w:hAnsi="Cambria Math"/>
                        <w:color w:val="0D0D0D"/>
                        <w:sz w:val="18"/>
                      </w:rPr>
                      <m:t>D</m:t>
                    </m:r>
                  </m:num>
                  <m:den>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m:t>
                        </m:r>
                      </m:sup>
                      <m:e>
                        <m:r>
                          <w:rPr>
                            <w:rFonts w:ascii="Cambria Math" w:hAnsi="Cambria Math"/>
                            <w:color w:val="0D0D0D"/>
                            <w:sz w:val="18"/>
                            <w:lang w:val="en-GB"/>
                          </w:rPr>
                          <m:t>|max⁡(-(</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mod</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m:t>
                    </m:r>
                  </m:den>
                </m:f>
              </m:oMath>
            </m:oMathPara>
          </w:p>
          <w:p w14:paraId="289E905C" w14:textId="77777777" w:rsidR="00CA7A69" w:rsidRPr="00CA7A69" w:rsidRDefault="005B195F" w:rsidP="00CA7A69">
            <w:pPr>
              <w:spacing w:before="20" w:line="276" w:lineRule="auto"/>
              <w:jc w:val="center"/>
              <w:rPr>
                <w:rFonts w:eastAsia="Calibri"/>
                <w:i/>
                <w:color w:val="0D0D0D"/>
                <w:sz w:val="18"/>
              </w:rPr>
            </w:pPr>
            <m:oMathPara>
              <m:oMathParaPr>
                <m:jc m:val="left"/>
              </m:oMathParaPr>
              <m:oMath>
                <m:sSub>
                  <m:sSubPr>
                    <m:ctrlPr>
                      <w:rPr>
                        <w:rFonts w:ascii="Cambria Math" w:hAnsi="Cambria Math"/>
                        <w:i/>
                        <w:color w:val="0D0D0D"/>
                        <w:sz w:val="18"/>
                      </w:rPr>
                    </m:ctrlPr>
                  </m:sSubPr>
                  <m:e>
                    <m:r>
                      <m:rPr>
                        <m:sty m:val="p"/>
                      </m:rPr>
                      <w:rPr>
                        <w:rFonts w:ascii="Cambria Math" w:hAnsi="Cambria Math" w:cs="Cambria Math"/>
                        <w:color w:val="0D0D0D"/>
                        <w:sz w:val="18"/>
                      </w:rPr>
                      <m:t>η</m:t>
                    </m:r>
                  </m:e>
                  <m:sub>
                    <m:r>
                      <w:rPr>
                        <w:rFonts w:ascii="Cambria Math" w:hAnsi="Cambria Math"/>
                        <w:color w:val="0D0D0D"/>
                        <w:sz w:val="18"/>
                      </w:rPr>
                      <m:t>UF</m:t>
                    </m:r>
                  </m:sub>
                </m:sSub>
                <m:r>
                  <w:rPr>
                    <w:rFonts w:ascii="Cambria Math" w:hAnsi="Cambria Math"/>
                    <w:color w:val="0D0D0D"/>
                    <w:sz w:val="18"/>
                    <w:lang w:val="en-GB"/>
                  </w:rPr>
                  <m:t>=</m:t>
                </m:r>
                <m:f>
                  <m:fPr>
                    <m:ctrlPr>
                      <w:rPr>
                        <w:rFonts w:ascii="Cambria Math" w:hAnsi="Cambria Math"/>
                        <w:i/>
                        <w:color w:val="0D0D0D"/>
                        <w:sz w:val="18"/>
                      </w:rPr>
                    </m:ctrlPr>
                  </m:fPr>
                  <m:num>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m:t>
                        </m:r>
                      </m:sup>
                      <m:e>
                        <m:r>
                          <w:rPr>
                            <w:rFonts w:ascii="Cambria Math" w:hAnsi="Cambria Math"/>
                            <w:color w:val="0D0D0D"/>
                            <w:sz w:val="18"/>
                            <w:lang w:val="en-GB"/>
                          </w:rPr>
                          <m:t>|max⁡(-(</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mod</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m:t>
                    </m:r>
                  </m:num>
                  <m:den>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m:t>
                        </m:r>
                      </m:sup>
                      <m:e>
                        <m:r>
                          <w:rPr>
                            <w:rFonts w:ascii="Cambria Math" w:hAnsi="Cambria Math"/>
                            <w:color w:val="0D0D0D"/>
                            <w:sz w:val="18"/>
                            <w:lang w:val="en-GB"/>
                          </w:rPr>
                          <m:t>|max⁡(-(</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mod</m:t>
                            </m:r>
                          </m:sub>
                        </m:sSub>
                      </m:e>
                    </m:nary>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ref</m:t>
                        </m:r>
                      </m:sub>
                    </m:sSub>
                    <m:r>
                      <w:rPr>
                        <w:rFonts w:ascii="Cambria Math" w:hAnsi="Cambria Math"/>
                        <w:color w:val="0D0D0D"/>
                        <w:sz w:val="18"/>
                        <w:lang w:val="en-GB"/>
                      </w:rPr>
                      <m:t>),0)|</m:t>
                    </m:r>
                    <m:r>
                      <w:rPr>
                        <w:rFonts w:ascii="Cambria Math" w:hAnsi="Cambria Math"/>
                        <w:color w:val="0D0D0D"/>
                        <w:sz w:val="18"/>
                      </w:rPr>
                      <m:t>dt+D</m:t>
                    </m:r>
                  </m:den>
                </m:f>
              </m:oMath>
            </m:oMathPara>
          </w:p>
        </w:tc>
        <w:tc>
          <w:tcPr>
            <w:tcW w:w="5391" w:type="dxa"/>
            <w:tcBorders>
              <w:top w:val="nil"/>
              <w:left w:val="nil"/>
              <w:bottom w:val="single" w:sz="4" w:space="0" w:color="auto"/>
              <w:right w:val="nil"/>
            </w:tcBorders>
          </w:tcPr>
          <w:p w14:paraId="6614DD15" w14:textId="77777777" w:rsidR="00CA7A69" w:rsidRPr="00CA7A69" w:rsidRDefault="00CA7A69" w:rsidP="00CA7A69">
            <w:pPr>
              <w:spacing w:line="360" w:lineRule="auto"/>
              <w:jc w:val="both"/>
              <w:rPr>
                <w:rFonts w:ascii="Palatino Linotype" w:hAnsi="Palatino Linotype"/>
                <w:color w:val="0D0D0D"/>
                <w:sz w:val="16"/>
                <w:szCs w:val="18"/>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rPr>
              <w:t xml:space="preserve"> </w:t>
            </w:r>
            <m:oMath>
              <m:nary>
                <m:naryPr>
                  <m:limLoc m:val="subSup"/>
                  <m:ctrlPr>
                    <w:rPr>
                      <w:rFonts w:ascii="Cambria Math" w:hAnsi="Cambria Math"/>
                      <w:i/>
                      <w:color w:val="0D0D0D"/>
                      <w:sz w:val="16"/>
                      <w:szCs w:val="18"/>
                    </w:rPr>
                  </m:ctrlPr>
                </m:naryPr>
                <m:sub>
                  <m:r>
                    <w:rPr>
                      <w:rFonts w:ascii="Cambria Math" w:hAnsi="Cambria Math"/>
                      <w:color w:val="0D0D0D"/>
                      <w:sz w:val="16"/>
                      <w:szCs w:val="18"/>
                    </w:rPr>
                    <m:t>0</m:t>
                  </m:r>
                </m:sub>
                <m:sup>
                  <m:r>
                    <w:rPr>
                      <w:rFonts w:ascii="Cambria Math" w:hAnsi="Cambria Math"/>
                      <w:color w:val="0D0D0D"/>
                      <w:sz w:val="16"/>
                      <w:szCs w:val="18"/>
                    </w:rPr>
                    <m:t>∞</m:t>
                  </m:r>
                </m:sup>
                <m:e>
                  <m:r>
                    <w:rPr>
                      <w:rFonts w:ascii="Cambria Math" w:hAnsi="Cambria Math"/>
                      <w:color w:val="0D0D0D"/>
                      <w:sz w:val="16"/>
                      <w:szCs w:val="18"/>
                      <w:lang w:val="en-GB"/>
                    </w:rPr>
                    <m:t>max</m:t>
                  </m:r>
                  <m:r>
                    <w:rPr>
                      <w:rFonts w:ascii="Cambria Math" w:hAnsi="Cambria Math"/>
                      <w:color w:val="0D0D0D"/>
                      <w:sz w:val="16"/>
                      <w:szCs w:val="18"/>
                    </w:rPr>
                    <m:t>⁡((</m:t>
                  </m:r>
                  <m:sSub>
                    <m:sSubPr>
                      <m:ctrlPr>
                        <w:rPr>
                          <w:rFonts w:ascii="Cambria Math" w:hAnsi="Cambria Math"/>
                          <w:i/>
                          <w:color w:val="0D0D0D"/>
                          <w:sz w:val="16"/>
                          <w:szCs w:val="18"/>
                          <w:lang w:val="en-GB"/>
                        </w:rPr>
                      </m:ctrlPr>
                    </m:sSubPr>
                    <m:e>
                      <m:r>
                        <w:rPr>
                          <w:rFonts w:ascii="Cambria Math" w:hAnsi="Cambria Math"/>
                          <w:color w:val="0D0D0D"/>
                          <w:sz w:val="16"/>
                          <w:szCs w:val="18"/>
                          <w:lang w:val="en-GB"/>
                        </w:rPr>
                        <m:t>P</m:t>
                      </m:r>
                    </m:e>
                    <m:sub>
                      <m:r>
                        <w:rPr>
                          <w:rFonts w:ascii="Cambria Math" w:hAnsi="Cambria Math"/>
                          <w:color w:val="0D0D0D"/>
                          <w:sz w:val="16"/>
                          <w:szCs w:val="18"/>
                          <w:lang w:val="en-GB"/>
                        </w:rPr>
                        <m:t>mod</m:t>
                      </m:r>
                    </m:sub>
                  </m:sSub>
                  <m:r>
                    <w:rPr>
                      <w:rFonts w:ascii="Cambria Math" w:hAnsi="Cambria Math"/>
                      <w:color w:val="0D0D0D"/>
                      <w:sz w:val="16"/>
                      <w:szCs w:val="18"/>
                    </w:rPr>
                    <m:t>-</m:t>
                  </m:r>
                  <m:r>
                    <w:rPr>
                      <w:rFonts w:ascii="Cambria Math" w:hAnsi="Cambria Math"/>
                      <w:color w:val="0D0D0D"/>
                      <w:sz w:val="16"/>
                      <w:szCs w:val="18"/>
                      <w:lang w:val="en-GB"/>
                    </w:rPr>
                    <m:t>max</m:t>
                  </m:r>
                  <m:r>
                    <w:rPr>
                      <w:rFonts w:ascii="Cambria Math" w:hAnsi="Cambria Math"/>
                      <w:color w:val="0D0D0D"/>
                      <w:sz w:val="16"/>
                      <w:szCs w:val="18"/>
                    </w:rPr>
                    <m:t>⁡(</m:t>
                  </m:r>
                  <m:sSub>
                    <m:sSubPr>
                      <m:ctrlPr>
                        <w:rPr>
                          <w:rFonts w:ascii="Cambria Math" w:hAnsi="Cambria Math"/>
                          <w:i/>
                          <w:color w:val="0D0D0D"/>
                          <w:sz w:val="16"/>
                          <w:szCs w:val="18"/>
                          <w:lang w:val="en-GB"/>
                        </w:rPr>
                      </m:ctrlPr>
                    </m:sSubPr>
                    <m:e>
                      <m:r>
                        <w:rPr>
                          <w:rFonts w:ascii="Cambria Math" w:hAnsi="Cambria Math"/>
                          <w:color w:val="0D0D0D"/>
                          <w:sz w:val="16"/>
                          <w:szCs w:val="18"/>
                          <w:lang w:val="en-GB"/>
                        </w:rPr>
                        <m:t>P</m:t>
                      </m:r>
                    </m:e>
                    <m:sub>
                      <m:r>
                        <w:rPr>
                          <w:rFonts w:ascii="Cambria Math" w:hAnsi="Cambria Math"/>
                          <w:color w:val="0D0D0D"/>
                          <w:sz w:val="16"/>
                          <w:szCs w:val="18"/>
                          <w:lang w:val="en-GB"/>
                        </w:rPr>
                        <m:t>ref</m:t>
                      </m:r>
                    </m:sub>
                  </m:sSub>
                  <m:r>
                    <w:rPr>
                      <w:rFonts w:ascii="Cambria Math" w:hAnsi="Cambria Math"/>
                      <w:color w:val="0D0D0D"/>
                      <w:sz w:val="16"/>
                      <w:szCs w:val="18"/>
                    </w:rPr>
                    <m:t>,</m:t>
                  </m:r>
                  <m:sSub>
                    <m:sSubPr>
                      <m:ctrlPr>
                        <w:rPr>
                          <w:rFonts w:ascii="Cambria Math" w:hAnsi="Cambria Math"/>
                          <w:i/>
                          <w:color w:val="0D0D0D"/>
                          <w:sz w:val="16"/>
                          <w:szCs w:val="18"/>
                          <w:lang w:val="en-GB"/>
                        </w:rPr>
                      </m:ctrlPr>
                    </m:sSubPr>
                    <m:e>
                      <m:r>
                        <w:rPr>
                          <w:rFonts w:ascii="Cambria Math" w:hAnsi="Cambria Math"/>
                          <w:color w:val="0D0D0D"/>
                          <w:sz w:val="16"/>
                          <w:szCs w:val="18"/>
                          <w:lang w:val="en-GB"/>
                        </w:rPr>
                        <m:t>P</m:t>
                      </m:r>
                    </m:e>
                    <m:sub>
                      <m:r>
                        <w:rPr>
                          <w:rFonts w:ascii="Cambria Math" w:hAnsi="Cambria Math"/>
                          <w:color w:val="0D0D0D"/>
                          <w:sz w:val="16"/>
                          <w:szCs w:val="18"/>
                          <w:lang w:val="en-GB"/>
                        </w:rPr>
                        <m:t>RES</m:t>
                      </m:r>
                    </m:sub>
                  </m:sSub>
                  <m:r>
                    <w:rPr>
                      <w:rFonts w:ascii="Cambria Math" w:hAnsi="Cambria Math"/>
                      <w:color w:val="0D0D0D"/>
                      <w:sz w:val="16"/>
                      <w:szCs w:val="18"/>
                    </w:rPr>
                    <m:t>)</m:t>
                  </m:r>
                </m:e>
              </m:nary>
              <m:r>
                <w:rPr>
                  <w:rFonts w:ascii="Cambria Math" w:hAnsi="Cambria Math"/>
                  <w:color w:val="0D0D0D"/>
                  <w:sz w:val="16"/>
                  <w:szCs w:val="18"/>
                </w:rPr>
                <m:t>),0)dt</m:t>
              </m:r>
            </m:oMath>
            <w:r w:rsidRPr="00CA7A69">
              <w:rPr>
                <w:rFonts w:ascii="Palatino Linotype" w:hAnsi="Palatino Linotype"/>
                <w:color w:val="0D0D0D"/>
                <w:sz w:val="16"/>
                <w:szCs w:val="18"/>
              </w:rPr>
              <w:t xml:space="preserve"> = D</w:t>
            </w:r>
          </w:p>
        </w:tc>
        <w:tc>
          <w:tcPr>
            <w:tcW w:w="1413" w:type="dxa"/>
            <w:tcBorders>
              <w:top w:val="nil"/>
              <w:left w:val="nil"/>
              <w:bottom w:val="single" w:sz="4" w:space="0" w:color="auto"/>
              <w:right w:val="nil"/>
            </w:tcBorders>
            <w:vAlign w:val="center"/>
          </w:tcPr>
          <w:p w14:paraId="4972494B" w14:textId="13A11442" w:rsidR="00CA7A69" w:rsidRPr="00CA7A69" w:rsidRDefault="00CA7A69" w:rsidP="00CA7A69">
            <w:pPr>
              <w:spacing w:before="20" w:line="360" w:lineRule="auto"/>
              <w:jc w:val="both"/>
              <w:rPr>
                <w:color w:val="0D0D0D"/>
                <w:sz w:val="14"/>
                <w:szCs w:val="16"/>
              </w:rPr>
            </w:pPr>
            <w:r w:rsidRPr="00CA7A69">
              <w:rPr>
                <w:color w:val="0D0D0D"/>
                <w:sz w:val="14"/>
                <w:szCs w:val="16"/>
              </w:rPr>
              <w:fldChar w:fldCharType="begin" w:fldLock="1"/>
            </w:r>
            <w:r w:rsidR="001D3C8C">
              <w:rPr>
                <w:color w:val="0D0D0D"/>
                <w:sz w:val="14"/>
                <w:szCs w:val="16"/>
              </w:rPr>
              <w:instrText>ADDIN CSL_CITATION {"citationItems":[{"id":"ITEM-1","itemData":{"DOI":"10.1016/j.apenergy.2020.116096","ISSN":"03062619","abstract":"To date, the energy flexibility assessment of multicomponent electrical and thermal systems in residential buildings is hindered by the lack of adequate indicators due to the different interpretations, properties, and requirements that characterise an energy flexible building. This paper addresses this knowledge gap by presenting a fundamental energy flexibility quantification framework applicable to various energy systems commonly found in residential buildings (i.e., heat pumps, renewables, thermal and electrical storage systems). Using this framework, the interactions between these systems are analysed, as well as assessing the net energy cost of providing flexibility arising from demand response actions where onsite electricity production is present. A calibrated white-box model of a residential building developed using EnergyPlus (including inter alia a ground source heat pump, a battery storage system, and an electric vehicle) is utilised. To acquire daily energy flexibility mappings, hourly independent, and consecutive demand response actions are imposed for each energy system, using the proposed indicators. The obtained flexibility maps give insights into both the energy volumes associated with demand response actions and qualitative characteristics of the modulated electricity consumption curves. The flexibility potential of each studied energy system is determined by weather and occupant thermal comfort preferences as well as the use of appliances, lighting, etc. Finally, simulations show that zone and water tank thermostat modulations can be suitably combined to shift rebound occurrences away from peak demand periods. These insights can be used by electricity aggregators to evaluate a portfolio of buildings or optimally harness the flexibility of each energy system to shift peak demand consumption to off-peak periods or periods of excess onsite electricity generation.","author":[{"dropping-particle":"","family":"Bampoulas","given":"Adamantios","non-dropping-particle":"","parse-names":false,"suffix":""},{"dropping-particle":"","family":"Saffari","given":"Mohammad","non-dropping-particle":"","parse-names":false,"suffix":""},{"dropping-particle":"","family":"Pallonetto","given":"Fabiano","non-dropping-particle":"","parse-names":false,"suffix":""},{"dropping-particle":"","family":"Mangina","given":"Eleni","non-dropping-particle":"","parse-names":false,"suffix":""},{"dropping-particle":"","family":"Finn","given":"Donal P.","non-dropping-particle":"","parse-names":false,"suffix":""}],"container-title":"Applied Energy","id":"ITEM-1","issue":"PA","issued":{"date-parts":[["2021"]]},"page":"116096","publisher":"Elsevier Ltd","title":"A fundamental unified framework to quantify and characterise energy flexibility of residential buildings with multiple electrical and thermal energy systems","type":"article-journal","volume":"282"},"uris":["http://www.mendeley.com/documents/?uuid=720bc581-0c77-4d20-a0b0-1f81aaa0c960"]}],"mendeley":{"formattedCitation":"(Bampoulas et al., 2021)","plainTextFormattedCitation":"(Bampoulas et al., 2021)","previouslyFormattedCitation":"(Bampoulas et al. 2021)"},"properties":{"noteIndex":0},"schema":"https://github.com/citation-style-language/schema/raw/master/csl-citation.json"}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rPr>
              <w:t>(Bampoulas et al., 2021)</w:t>
            </w:r>
            <w:r w:rsidRPr="00CA7A69">
              <w:rPr>
                <w:color w:val="0D0D0D"/>
                <w:sz w:val="14"/>
                <w:szCs w:val="16"/>
              </w:rPr>
              <w:fldChar w:fldCharType="end"/>
            </w:r>
          </w:p>
        </w:tc>
      </w:tr>
      <w:tr w:rsidR="00CA7A69" w:rsidRPr="00CA7A69" w14:paraId="75C1BF1F" w14:textId="77777777" w:rsidTr="001450D5">
        <w:trPr>
          <w:trHeight w:val="478"/>
          <w:jc w:val="center"/>
        </w:trPr>
        <w:tc>
          <w:tcPr>
            <w:tcW w:w="546" w:type="dxa"/>
            <w:tcBorders>
              <w:top w:val="single" w:sz="4" w:space="0" w:color="auto"/>
              <w:left w:val="nil"/>
              <w:bottom w:val="nil"/>
              <w:right w:val="nil"/>
            </w:tcBorders>
            <w:vAlign w:val="center"/>
          </w:tcPr>
          <w:p w14:paraId="069E97E5" w14:textId="7EF45641" w:rsidR="00CA7A69" w:rsidRPr="00CA7A69" w:rsidRDefault="00E84D5C" w:rsidP="00CA7A69">
            <w:pPr>
              <w:spacing w:before="80" w:line="360" w:lineRule="auto"/>
              <w:jc w:val="both"/>
              <w:rPr>
                <w:rFonts w:ascii="Palatino Linotype" w:hAnsi="Palatino Linotype"/>
                <w:color w:val="0D0D0D"/>
                <w:sz w:val="14"/>
                <w:szCs w:val="16"/>
                <w:highlight w:val="yellow"/>
                <w:lang w:val="en-GB"/>
              </w:rPr>
            </w:pPr>
            <w:r>
              <w:rPr>
                <w:rFonts w:ascii="Palatino Linotype" w:hAnsi="Palatino Linotype"/>
                <w:color w:val="0D0D0D"/>
                <w:sz w:val="14"/>
                <w:szCs w:val="16"/>
                <w:highlight w:val="yellow"/>
                <w:lang w:val="en-GB"/>
              </w:rPr>
              <w:t>5</w:t>
            </w:r>
            <w:r w:rsidR="00CA7A69" w:rsidRPr="00CA7A69">
              <w:rPr>
                <w:rFonts w:ascii="Palatino Linotype" w:hAnsi="Palatino Linotype"/>
                <w:color w:val="0D0D0D"/>
                <w:sz w:val="14"/>
                <w:szCs w:val="16"/>
                <w:highlight w:val="yellow"/>
                <w:lang w:val="en-GB"/>
              </w:rPr>
              <w:t>.1</w:t>
            </w:r>
          </w:p>
        </w:tc>
        <w:tc>
          <w:tcPr>
            <w:tcW w:w="3024" w:type="dxa"/>
            <w:tcBorders>
              <w:top w:val="single" w:sz="4" w:space="0" w:color="auto"/>
              <w:left w:val="nil"/>
              <w:bottom w:val="nil"/>
              <w:right w:val="nil"/>
            </w:tcBorders>
            <w:vAlign w:val="center"/>
          </w:tcPr>
          <w:p w14:paraId="0D35D82E" w14:textId="77777777" w:rsidR="00CA7A69" w:rsidRPr="00CA7A69" w:rsidRDefault="00CA7A69" w:rsidP="00CA7A69">
            <w:pPr>
              <w:spacing w:before="80" w:line="360" w:lineRule="auto"/>
              <w:jc w:val="center"/>
              <w:rPr>
                <w:rFonts w:ascii="Palatino Linotype" w:hAnsi="Palatino Linotype"/>
                <w:bCs/>
                <w:color w:val="0D0D0D"/>
                <w:sz w:val="16"/>
                <w:szCs w:val="18"/>
              </w:rPr>
            </w:pPr>
            <w:r w:rsidRPr="00CA7A69">
              <w:rPr>
                <w:rFonts w:ascii="Palatino Linotype" w:hAnsi="Palatino Linotype"/>
                <w:bCs/>
                <w:color w:val="0D0D0D"/>
                <w:sz w:val="16"/>
                <w:szCs w:val="18"/>
              </w:rPr>
              <w:t>Forced flexibility (</w:t>
            </w:r>
            <m:oMath>
              <m:sSub>
                <m:sSubPr>
                  <m:ctrlPr>
                    <w:rPr>
                      <w:rFonts w:ascii="Cambria Math" w:hAnsi="Cambria Math"/>
                      <w:i/>
                      <w:color w:val="0D0D0D"/>
                      <w:sz w:val="16"/>
                      <w:szCs w:val="18"/>
                    </w:rPr>
                  </m:ctrlPr>
                </m:sSubPr>
                <m:e>
                  <m:r>
                    <m:rPr>
                      <m:sty m:val="p"/>
                    </m:rPr>
                    <w:rPr>
                      <w:rFonts w:ascii="Cambria Math" w:hAnsi="Cambria Math"/>
                      <w:color w:val="0D0D0D"/>
                      <w:sz w:val="16"/>
                      <w:szCs w:val="18"/>
                    </w:rPr>
                    <m:t>ε</m:t>
                  </m:r>
                </m:e>
                <m:sub>
                  <m:r>
                    <w:rPr>
                      <w:rFonts w:ascii="Cambria Math" w:hAnsi="Cambria Math"/>
                      <w:color w:val="0D0D0D"/>
                      <w:sz w:val="16"/>
                      <w:szCs w:val="18"/>
                    </w:rPr>
                    <m:t>forced</m:t>
                  </m:r>
                </m:sub>
              </m:sSub>
              <m:r>
                <w:rPr>
                  <w:rFonts w:ascii="Cambria Math" w:hAnsi="Cambria Math"/>
                  <w:color w:val="0D0D0D"/>
                  <w:sz w:val="16"/>
                  <w:szCs w:val="18"/>
                </w:rPr>
                <m:t>)</m:t>
              </m:r>
            </m:oMath>
          </w:p>
        </w:tc>
        <w:tc>
          <w:tcPr>
            <w:tcW w:w="3964" w:type="dxa"/>
            <w:tcBorders>
              <w:top w:val="single" w:sz="4" w:space="0" w:color="auto"/>
              <w:left w:val="nil"/>
              <w:bottom w:val="nil"/>
              <w:right w:val="nil"/>
            </w:tcBorders>
            <w:vAlign w:val="center"/>
          </w:tcPr>
          <w:p w14:paraId="65B301B9" w14:textId="77777777" w:rsidR="00CA7A69" w:rsidRPr="00CA7A69" w:rsidRDefault="005B195F" w:rsidP="00CA7A69">
            <w:pPr>
              <w:spacing w:before="20" w:line="360" w:lineRule="auto"/>
              <w:jc w:val="center"/>
              <w:rPr>
                <w:rFonts w:eastAsia="Calibri"/>
                <w:color w:val="0D0D0D"/>
                <w:sz w:val="18"/>
              </w:rPr>
            </w:pPr>
            <m:oMathPara>
              <m:oMath>
                <m:sSub>
                  <m:sSubPr>
                    <m:ctrlPr>
                      <w:rPr>
                        <w:rFonts w:ascii="Cambria Math" w:hAnsi="Cambria Math"/>
                        <w:i/>
                        <w:color w:val="0D0D0D"/>
                        <w:sz w:val="18"/>
                      </w:rPr>
                    </m:ctrlPr>
                  </m:sSubPr>
                  <m:e>
                    <m:r>
                      <m:rPr>
                        <m:sty m:val="p"/>
                      </m:rPr>
                      <w:rPr>
                        <w:rFonts w:ascii="Cambria Math" w:hAnsi="Cambria Math"/>
                        <w:color w:val="0D0D0D"/>
                        <w:sz w:val="18"/>
                      </w:rPr>
                      <m:t>ε</m:t>
                    </m:r>
                  </m:e>
                  <m:sub>
                    <m:r>
                      <w:rPr>
                        <w:rFonts w:ascii="Cambria Math" w:hAnsi="Cambria Math"/>
                        <w:color w:val="0D0D0D"/>
                        <w:sz w:val="18"/>
                      </w:rPr>
                      <m:t>forced</m:t>
                    </m:r>
                  </m:sub>
                </m:sSub>
                <m:r>
                  <w:rPr>
                    <w:rFonts w:ascii="Cambria Math" w:hAnsi="Cambria Math"/>
                    <w:color w:val="0D0D0D"/>
                    <w:sz w:val="18"/>
                  </w:rPr>
                  <m:t>=</m:t>
                </m:r>
                <m:nary>
                  <m:naryPr>
                    <m:limLoc m:val="subSup"/>
                    <m:ctrlPr>
                      <w:rPr>
                        <w:rFonts w:ascii="Cambria Math" w:hAnsi="Cambria Math"/>
                        <w:i/>
                        <w:color w:val="0D0D0D"/>
                        <w:sz w:val="18"/>
                      </w:rPr>
                    </m:ctrlPr>
                  </m:naryPr>
                  <m:sub>
                    <m:r>
                      <w:rPr>
                        <w:rFonts w:ascii="Cambria Math" w:hAnsi="Cambria Math"/>
                        <w:color w:val="0D0D0D"/>
                        <w:sz w:val="18"/>
                      </w:rPr>
                      <m:t>0</m:t>
                    </m:r>
                  </m:sub>
                  <m:sup>
                    <m:sSub>
                      <m:sSubPr>
                        <m:ctrlPr>
                          <w:rPr>
                            <w:rFonts w:ascii="Cambria Math" w:hAnsi="Cambria Math"/>
                            <w:i/>
                            <w:color w:val="0D0D0D"/>
                            <w:sz w:val="18"/>
                          </w:rPr>
                        </m:ctrlPr>
                      </m:sSubPr>
                      <m:e>
                        <m:r>
                          <w:rPr>
                            <w:rFonts w:ascii="Cambria Math" w:hAnsi="Cambria Math"/>
                            <w:color w:val="0D0D0D"/>
                            <w:sz w:val="18"/>
                          </w:rPr>
                          <m:t>T</m:t>
                        </m:r>
                      </m:e>
                      <m:sub>
                        <m:r>
                          <w:rPr>
                            <w:rFonts w:ascii="Cambria Math" w:hAnsi="Cambria Math"/>
                            <w:color w:val="0D0D0D"/>
                            <w:sz w:val="18"/>
                          </w:rPr>
                          <m:t>forced</m:t>
                        </m:r>
                      </m:sub>
                    </m:sSub>
                  </m:sup>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flex,forced</m:t>
                        </m:r>
                      </m:sub>
                    </m:sSub>
                  </m:e>
                </m:nary>
                <m:r>
                  <w:rPr>
                    <w:rFonts w:ascii="Cambria Math" w:hAnsi="Cambria Math"/>
                    <w:color w:val="0D0D0D"/>
                    <w:sz w:val="18"/>
                  </w:rPr>
                  <m:t>(t)dt</m:t>
                </m:r>
              </m:oMath>
            </m:oMathPara>
          </w:p>
        </w:tc>
        <w:tc>
          <w:tcPr>
            <w:tcW w:w="5391" w:type="dxa"/>
            <w:tcBorders>
              <w:top w:val="single" w:sz="4" w:space="0" w:color="auto"/>
              <w:left w:val="nil"/>
              <w:bottom w:val="nil"/>
              <w:right w:val="nil"/>
            </w:tcBorders>
          </w:tcPr>
          <w:p w14:paraId="1F560C12"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flex</m:t>
                  </m:r>
                  <m:r>
                    <w:rPr>
                      <w:rFonts w:ascii="Cambria Math" w:hAnsi="Cambria Math"/>
                      <w:color w:val="0D0D0D"/>
                      <w:sz w:val="16"/>
                      <w:szCs w:val="18"/>
                      <w:lang w:val="en-GB"/>
                    </w:rPr>
                    <m:t>,</m:t>
                  </m:r>
                  <m:r>
                    <w:rPr>
                      <w:rFonts w:ascii="Cambria Math" w:hAnsi="Cambria Math"/>
                      <w:color w:val="0D0D0D"/>
                      <w:sz w:val="16"/>
                      <w:szCs w:val="18"/>
                    </w:rPr>
                    <m:t>forced</m:t>
                  </m:r>
                </m:sub>
              </m:sSub>
            </m:oMath>
            <w:r w:rsidRPr="00CA7A69">
              <w:rPr>
                <w:rFonts w:ascii="Palatino Linotype" w:hAnsi="Palatino Linotype"/>
                <w:color w:val="0D0D0D"/>
                <w:sz w:val="16"/>
                <w:szCs w:val="18"/>
                <w:lang w:val="en-GB"/>
              </w:rPr>
              <w:t>: Power required during the forced operation event minus the power required during the ref. case.</w:t>
            </w:r>
          </w:p>
          <w:p w14:paraId="4319DDAA"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w:t>
            </w:r>
          </w:p>
          <w:p w14:paraId="52599567"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T</m:t>
                  </m:r>
                </m:e>
                <m:sub>
                  <m:r>
                    <w:rPr>
                      <w:rFonts w:ascii="Cambria Math" w:hAnsi="Cambria Math"/>
                      <w:color w:val="0D0D0D"/>
                      <w:sz w:val="16"/>
                      <w:szCs w:val="18"/>
                    </w:rPr>
                    <m:t>forced</m:t>
                  </m:r>
                </m:sub>
              </m:sSub>
            </m:oMath>
            <w:r w:rsidRPr="00CA7A69">
              <w:rPr>
                <w:rFonts w:ascii="Palatino Linotype" w:hAnsi="Palatino Linotype"/>
                <w:color w:val="0D0D0D"/>
                <w:sz w:val="16"/>
                <w:szCs w:val="18"/>
                <w:lang w:val="en-GB"/>
              </w:rPr>
              <w:t>: time duration of the forced operation event</w:t>
            </w:r>
          </w:p>
        </w:tc>
        <w:tc>
          <w:tcPr>
            <w:tcW w:w="1413" w:type="dxa"/>
            <w:tcBorders>
              <w:top w:val="single" w:sz="4" w:space="0" w:color="auto"/>
              <w:left w:val="nil"/>
              <w:bottom w:val="nil"/>
              <w:right w:val="nil"/>
            </w:tcBorders>
            <w:vAlign w:val="center"/>
          </w:tcPr>
          <w:p w14:paraId="51C577AB" w14:textId="5984A353" w:rsidR="00CA7A69" w:rsidRPr="00CA7A69" w:rsidRDefault="00CA7A69" w:rsidP="00CA7A69">
            <w:pPr>
              <w:spacing w:before="20" w:line="360" w:lineRule="auto"/>
              <w:jc w:val="both"/>
              <w:rPr>
                <w:color w:val="0D0D0D"/>
                <w:sz w:val="14"/>
                <w:szCs w:val="16"/>
                <w:lang w:val="en-US"/>
              </w:rPr>
            </w:pPr>
            <w:r w:rsidRPr="00CA7A69">
              <w:rPr>
                <w:color w:val="0D0D0D"/>
                <w:sz w:val="14"/>
                <w:szCs w:val="16"/>
                <w:lang w:val="en-US"/>
              </w:rPr>
              <w:fldChar w:fldCharType="begin" w:fldLock="1"/>
            </w:r>
            <w:r w:rsidR="001D3C8C">
              <w:rPr>
                <w:color w:val="0D0D0D"/>
                <w:sz w:val="14"/>
                <w:szCs w:val="16"/>
                <w:lang w:val="en-US"/>
              </w:rPr>
              <w:instrText>ADDIN CSL_CITATION {"citationItems":[{"id":"ITEM-1","itemData":{"DOI":"10.1016/j.apenergy.2016.08.055","ISSN":"03062619","abstract":"The increasing share of fluctuating renewable energy generation in the energy system increases the need for flexibility options. Building energy systems (BES) with their corresponding thermal energy storages (TES) can be one option for supplying flexibility. To use this option efficiently, a framework to quantify the flexibility of the BES is necessary. It is found that the flexibility of a BES can hardly be described with one single flexibility indicator. Therefore, this paper develops a method to analyze the flexibility of BES in terms of time, power and energy. Different influencing factors are considered, like the heat generator and the thermal storage size. Additionally, the option to aggregate the different flexibility measures on a city district level is addressed. This is necessary as single buildings have a minor impact on higher level energy systems. Finally, a comparison to other flexibility options like battery storage is discussed.","author":[{"dropping-particle":"","family":"Stinner","given":"Sebastian","non-dropping-particle":"","parse-names":false,"suffix":""},{"dropping-particle":"","family":"Huchtemann","given":"Kristian","non-dropping-particle":"","parse-names":false,"suffix":""},{"dropping-particle":"","family":"Müller","given":"Dirk","non-dropping-particle":"","parse-names":false,"suffix":""}],"container-title":"Applied Energy","id":"ITEM-1","issued":{"date-parts":[["2016"]]},"page":"140-154","publisher":"Elsevier Ltd","title":"Quantifying the operational flexibility of building energy systems with thermal energy storages","type":"article-journal","volume":"181"},"uris":["http://www.mendeley.com/documents/?uuid=728658de-2316-4bf3-a10c-3b75811c1333","http://www.mendeley.com/documents/?uuid=3331c166-2ff9-49e6-9f39-8b05cbfc0566","http://www.mendeley.com/documents/?uuid=0d142864-6036-4570-b4dd-d5f30817c592"]}],"mendeley":{"formattedCitation":"(Stinner et al., 2016)","plainTextFormattedCitation":"(Stinner et al., 2016)","previouslyFormattedCitation":"(Stinner, Huchtemann, and Müller 2016)"},"properties":{"noteIndex":0},"schema":"https://github.com/citation-style-language/schema/raw/master/csl-citation.json"}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en-US"/>
              </w:rPr>
              <w:t>(Stinner et al., 2016)</w:t>
            </w:r>
            <w:r w:rsidRPr="00CA7A69">
              <w:rPr>
                <w:color w:val="0D0D0D"/>
                <w:sz w:val="14"/>
                <w:szCs w:val="16"/>
                <w:lang w:val="en-US"/>
              </w:rPr>
              <w:fldChar w:fldCharType="end"/>
            </w:r>
          </w:p>
          <w:p w14:paraId="1F8CC080" w14:textId="77777777" w:rsidR="00CA7A69" w:rsidRPr="00CA7A69" w:rsidRDefault="00CA7A69" w:rsidP="00CA7A69">
            <w:pPr>
              <w:spacing w:before="20" w:line="360" w:lineRule="auto"/>
              <w:jc w:val="both"/>
              <w:rPr>
                <w:color w:val="0D0D0D"/>
                <w:sz w:val="14"/>
                <w:szCs w:val="16"/>
              </w:rPr>
            </w:pPr>
          </w:p>
        </w:tc>
      </w:tr>
      <w:tr w:rsidR="00CA7A69" w:rsidRPr="00CA7A69" w14:paraId="2206A2E9" w14:textId="77777777" w:rsidTr="00117EAB">
        <w:trPr>
          <w:trHeight w:val="478"/>
          <w:jc w:val="center"/>
        </w:trPr>
        <w:tc>
          <w:tcPr>
            <w:tcW w:w="546" w:type="dxa"/>
            <w:tcBorders>
              <w:top w:val="nil"/>
              <w:left w:val="nil"/>
              <w:bottom w:val="nil"/>
              <w:right w:val="nil"/>
            </w:tcBorders>
            <w:vAlign w:val="center"/>
          </w:tcPr>
          <w:p w14:paraId="24CDF330" w14:textId="0B798DC8" w:rsidR="00CA7A69" w:rsidRPr="00CA7A69" w:rsidRDefault="00E84D5C" w:rsidP="00CA7A69">
            <w:pPr>
              <w:spacing w:before="80" w:line="360" w:lineRule="auto"/>
              <w:jc w:val="both"/>
              <w:rPr>
                <w:rFonts w:ascii="Palatino Linotype" w:hAnsi="Palatino Linotype"/>
                <w:color w:val="0D0D0D"/>
                <w:sz w:val="14"/>
                <w:szCs w:val="16"/>
                <w:highlight w:val="yellow"/>
                <w:lang w:val="en-GB"/>
              </w:rPr>
            </w:pPr>
            <w:r>
              <w:rPr>
                <w:rFonts w:ascii="Palatino Linotype" w:hAnsi="Palatino Linotype"/>
                <w:color w:val="0D0D0D"/>
                <w:sz w:val="14"/>
                <w:szCs w:val="16"/>
                <w:highlight w:val="yellow"/>
                <w:lang w:val="en-GB"/>
              </w:rPr>
              <w:t>5</w:t>
            </w:r>
            <w:commentRangeStart w:id="2"/>
            <w:r w:rsidR="00CA7A69" w:rsidRPr="00CA7A69">
              <w:rPr>
                <w:rFonts w:ascii="Palatino Linotype" w:hAnsi="Palatino Linotype"/>
                <w:color w:val="0D0D0D"/>
                <w:sz w:val="14"/>
                <w:szCs w:val="16"/>
                <w:highlight w:val="yellow"/>
                <w:lang w:val="en-GB"/>
              </w:rPr>
              <w:t>.2</w:t>
            </w:r>
            <w:commentRangeEnd w:id="2"/>
            <w:r w:rsidR="00630F52">
              <w:rPr>
                <w:rStyle w:val="CommentReference"/>
              </w:rPr>
              <w:commentReference w:id="2"/>
            </w:r>
          </w:p>
        </w:tc>
        <w:tc>
          <w:tcPr>
            <w:tcW w:w="3024" w:type="dxa"/>
            <w:tcBorders>
              <w:top w:val="nil"/>
              <w:left w:val="nil"/>
              <w:bottom w:val="nil"/>
              <w:right w:val="nil"/>
            </w:tcBorders>
            <w:vAlign w:val="center"/>
          </w:tcPr>
          <w:p w14:paraId="0BF733B6" w14:textId="77777777" w:rsidR="00CA7A69" w:rsidRPr="00CA7A69" w:rsidRDefault="00CA7A69" w:rsidP="00CA7A69">
            <w:pPr>
              <w:spacing w:before="80" w:line="360" w:lineRule="auto"/>
              <w:jc w:val="center"/>
              <w:rPr>
                <w:rFonts w:ascii="Palatino Linotype" w:hAnsi="Palatino Linotype"/>
                <w:bCs/>
                <w:color w:val="0D0D0D"/>
                <w:sz w:val="16"/>
                <w:szCs w:val="18"/>
              </w:rPr>
            </w:pPr>
            <w:r w:rsidRPr="00CA7A69">
              <w:rPr>
                <w:rFonts w:ascii="Palatino Linotype" w:hAnsi="Palatino Linotype"/>
                <w:bCs/>
                <w:color w:val="0D0D0D"/>
                <w:sz w:val="16"/>
                <w:szCs w:val="18"/>
              </w:rPr>
              <w:t>Delayed flexibility (</w:t>
            </w:r>
            <m:oMath>
              <m:sSub>
                <m:sSubPr>
                  <m:ctrlPr>
                    <w:rPr>
                      <w:rFonts w:ascii="Cambria Math" w:hAnsi="Cambria Math"/>
                      <w:i/>
                      <w:color w:val="0D0D0D"/>
                      <w:sz w:val="16"/>
                      <w:szCs w:val="18"/>
                    </w:rPr>
                  </m:ctrlPr>
                </m:sSubPr>
                <m:e>
                  <m:r>
                    <m:rPr>
                      <m:sty m:val="p"/>
                    </m:rPr>
                    <w:rPr>
                      <w:rFonts w:ascii="Cambria Math" w:hAnsi="Cambria Math"/>
                      <w:color w:val="0D0D0D"/>
                      <w:sz w:val="16"/>
                      <w:szCs w:val="18"/>
                    </w:rPr>
                    <m:t>ε</m:t>
                  </m:r>
                </m:e>
                <m:sub>
                  <m:r>
                    <w:rPr>
                      <w:rFonts w:ascii="Cambria Math" w:hAnsi="Cambria Math"/>
                      <w:color w:val="0D0D0D"/>
                      <w:sz w:val="16"/>
                      <w:szCs w:val="18"/>
                    </w:rPr>
                    <m:t>delayed</m:t>
                  </m:r>
                </m:sub>
              </m:sSub>
              <m:r>
                <w:rPr>
                  <w:rFonts w:ascii="Cambria Math" w:hAnsi="Cambria Math"/>
                  <w:color w:val="0D0D0D"/>
                  <w:sz w:val="16"/>
                  <w:szCs w:val="18"/>
                </w:rPr>
                <m:t>)</m:t>
              </m:r>
            </m:oMath>
          </w:p>
        </w:tc>
        <w:tc>
          <w:tcPr>
            <w:tcW w:w="3964" w:type="dxa"/>
            <w:tcBorders>
              <w:top w:val="nil"/>
              <w:left w:val="nil"/>
              <w:bottom w:val="nil"/>
              <w:right w:val="nil"/>
            </w:tcBorders>
            <w:vAlign w:val="center"/>
          </w:tcPr>
          <w:p w14:paraId="2587743B" w14:textId="77777777" w:rsidR="00CA7A69" w:rsidRPr="00CA7A69" w:rsidRDefault="005B195F" w:rsidP="00CA7A69">
            <w:pPr>
              <w:spacing w:before="20" w:line="360" w:lineRule="auto"/>
              <w:jc w:val="center"/>
              <w:rPr>
                <w:rFonts w:eastAsia="Calibri"/>
                <w:color w:val="0D0D0D"/>
                <w:sz w:val="18"/>
              </w:rPr>
            </w:pPr>
            <m:oMathPara>
              <m:oMath>
                <m:sSub>
                  <m:sSubPr>
                    <m:ctrlPr>
                      <w:rPr>
                        <w:rFonts w:ascii="Cambria Math" w:hAnsi="Cambria Math"/>
                        <w:i/>
                        <w:color w:val="0D0D0D"/>
                        <w:sz w:val="18"/>
                      </w:rPr>
                    </m:ctrlPr>
                  </m:sSubPr>
                  <m:e>
                    <m:r>
                      <m:rPr>
                        <m:sty m:val="p"/>
                      </m:rPr>
                      <w:rPr>
                        <w:rFonts w:ascii="Cambria Math" w:hAnsi="Cambria Math"/>
                        <w:color w:val="0D0D0D"/>
                        <w:sz w:val="18"/>
                      </w:rPr>
                      <m:t>ε</m:t>
                    </m:r>
                  </m:e>
                  <m:sub>
                    <m:r>
                      <w:rPr>
                        <w:rFonts w:ascii="Cambria Math" w:hAnsi="Cambria Math"/>
                        <w:color w:val="0D0D0D"/>
                        <w:sz w:val="18"/>
                      </w:rPr>
                      <m:t>delayed</m:t>
                    </m:r>
                  </m:sub>
                </m:sSub>
                <m:r>
                  <w:rPr>
                    <w:rFonts w:ascii="Cambria Math" w:hAnsi="Cambria Math"/>
                    <w:color w:val="0D0D0D"/>
                    <w:sz w:val="18"/>
                  </w:rPr>
                  <m:t>=</m:t>
                </m:r>
                <m:nary>
                  <m:naryPr>
                    <m:limLoc m:val="subSup"/>
                    <m:ctrlPr>
                      <w:rPr>
                        <w:rFonts w:ascii="Cambria Math" w:hAnsi="Cambria Math"/>
                        <w:i/>
                        <w:color w:val="0D0D0D"/>
                        <w:sz w:val="18"/>
                      </w:rPr>
                    </m:ctrlPr>
                  </m:naryPr>
                  <m:sub>
                    <m:r>
                      <w:rPr>
                        <w:rFonts w:ascii="Cambria Math" w:hAnsi="Cambria Math"/>
                        <w:color w:val="0D0D0D"/>
                        <w:sz w:val="18"/>
                      </w:rPr>
                      <m:t>0</m:t>
                    </m:r>
                  </m:sub>
                  <m:sup>
                    <m:sSub>
                      <m:sSubPr>
                        <m:ctrlPr>
                          <w:rPr>
                            <w:rFonts w:ascii="Cambria Math" w:hAnsi="Cambria Math"/>
                            <w:i/>
                            <w:color w:val="0D0D0D"/>
                            <w:sz w:val="18"/>
                          </w:rPr>
                        </m:ctrlPr>
                      </m:sSubPr>
                      <m:e>
                        <m:r>
                          <w:rPr>
                            <w:rFonts w:ascii="Cambria Math" w:hAnsi="Cambria Math"/>
                            <w:color w:val="0D0D0D"/>
                            <w:sz w:val="18"/>
                          </w:rPr>
                          <m:t>T</m:t>
                        </m:r>
                      </m:e>
                      <m:sub>
                        <m:r>
                          <w:rPr>
                            <w:rFonts w:ascii="Cambria Math" w:hAnsi="Cambria Math"/>
                            <w:color w:val="0D0D0D"/>
                            <w:sz w:val="18"/>
                          </w:rPr>
                          <m:t>delayed</m:t>
                        </m:r>
                      </m:sub>
                    </m:sSub>
                  </m:sup>
                  <m:e>
                    <m:sSub>
                      <m:sSubPr>
                        <m:ctrlPr>
                          <w:rPr>
                            <w:rFonts w:ascii="Cambria Math" w:hAnsi="Cambria Math"/>
                            <w:i/>
                            <w:color w:val="0D0D0D"/>
                            <w:sz w:val="18"/>
                          </w:rPr>
                        </m:ctrlPr>
                      </m:sSubPr>
                      <m:e>
                        <m:r>
                          <w:rPr>
                            <w:rFonts w:ascii="Cambria Math" w:hAnsi="Cambria Math"/>
                            <w:color w:val="0D0D0D"/>
                            <w:sz w:val="18"/>
                          </w:rPr>
                          <m:t>l</m:t>
                        </m:r>
                      </m:e>
                      <m:sub>
                        <m:r>
                          <w:rPr>
                            <w:rFonts w:ascii="Cambria Math" w:hAnsi="Cambria Math"/>
                            <w:color w:val="0D0D0D"/>
                            <w:sz w:val="18"/>
                          </w:rPr>
                          <m:t>flex,delayed</m:t>
                        </m:r>
                      </m:sub>
                    </m:sSub>
                  </m:e>
                </m:nary>
                <m:r>
                  <w:rPr>
                    <w:rFonts w:ascii="Cambria Math" w:hAnsi="Cambria Math"/>
                    <w:color w:val="0D0D0D"/>
                    <w:sz w:val="18"/>
                  </w:rPr>
                  <m:t>(t)dt</m:t>
                </m:r>
              </m:oMath>
            </m:oMathPara>
          </w:p>
        </w:tc>
        <w:tc>
          <w:tcPr>
            <w:tcW w:w="5391" w:type="dxa"/>
            <w:tcBorders>
              <w:top w:val="nil"/>
              <w:left w:val="nil"/>
              <w:bottom w:val="nil"/>
              <w:right w:val="nil"/>
            </w:tcBorders>
          </w:tcPr>
          <w:p w14:paraId="5882CE3A"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l</m:t>
                  </m:r>
                </m:e>
                <m:sub>
                  <m:r>
                    <w:rPr>
                      <w:rFonts w:ascii="Cambria Math" w:hAnsi="Cambria Math"/>
                      <w:color w:val="0D0D0D"/>
                      <w:sz w:val="16"/>
                      <w:szCs w:val="18"/>
                    </w:rPr>
                    <m:t>flex</m:t>
                  </m:r>
                  <m:r>
                    <w:rPr>
                      <w:rFonts w:ascii="Cambria Math" w:hAnsi="Cambria Math"/>
                      <w:color w:val="0D0D0D"/>
                      <w:sz w:val="16"/>
                      <w:szCs w:val="18"/>
                      <w:lang w:val="en-GB"/>
                    </w:rPr>
                    <m:t>,</m:t>
                  </m:r>
                  <m:r>
                    <w:rPr>
                      <w:rFonts w:ascii="Cambria Math" w:hAnsi="Cambria Math"/>
                      <w:color w:val="0D0D0D"/>
                      <w:sz w:val="16"/>
                      <w:szCs w:val="18"/>
                    </w:rPr>
                    <m:t>delayed</m:t>
                  </m:r>
                </m:sub>
              </m:sSub>
            </m:oMath>
            <w:r w:rsidRPr="00CA7A69">
              <w:rPr>
                <w:rFonts w:ascii="Palatino Linotype" w:hAnsi="Palatino Linotype"/>
                <w:color w:val="0D0D0D"/>
                <w:sz w:val="16"/>
                <w:szCs w:val="18"/>
                <w:lang w:val="en-GB"/>
              </w:rPr>
              <w:t>: Power required during the ref. case minus the power required during the delayed operation event</w:t>
            </w:r>
          </w:p>
          <w:p w14:paraId="2D2E7C42"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T</m:t>
                  </m:r>
                </m:e>
                <m:sub>
                  <m:r>
                    <w:rPr>
                      <w:rFonts w:ascii="Cambria Math" w:hAnsi="Cambria Math"/>
                      <w:color w:val="0D0D0D"/>
                      <w:sz w:val="16"/>
                      <w:szCs w:val="18"/>
                    </w:rPr>
                    <m:t>delayed</m:t>
                  </m:r>
                </m:sub>
              </m:sSub>
            </m:oMath>
            <w:r w:rsidRPr="00CA7A69">
              <w:rPr>
                <w:rFonts w:ascii="Palatino Linotype" w:hAnsi="Palatino Linotype"/>
                <w:color w:val="0D0D0D"/>
                <w:sz w:val="16"/>
                <w:szCs w:val="18"/>
                <w:lang w:val="en-GB"/>
              </w:rPr>
              <w:t>: time duration of the delayed operation event</w:t>
            </w:r>
          </w:p>
        </w:tc>
        <w:tc>
          <w:tcPr>
            <w:tcW w:w="1413" w:type="dxa"/>
            <w:tcBorders>
              <w:top w:val="nil"/>
              <w:left w:val="nil"/>
              <w:bottom w:val="nil"/>
              <w:right w:val="nil"/>
            </w:tcBorders>
            <w:vAlign w:val="center"/>
          </w:tcPr>
          <w:p w14:paraId="6B61CD1C" w14:textId="4619DFB0" w:rsidR="00CA7A69" w:rsidRPr="00CA7A69" w:rsidRDefault="00CA7A69" w:rsidP="00CA7A69">
            <w:pPr>
              <w:spacing w:before="20" w:line="360" w:lineRule="auto"/>
              <w:jc w:val="both"/>
              <w:rPr>
                <w:color w:val="0D0D0D"/>
                <w:sz w:val="14"/>
                <w:szCs w:val="16"/>
              </w:rPr>
            </w:pPr>
            <w:r w:rsidRPr="00CA7A69">
              <w:rPr>
                <w:color w:val="0D0D0D"/>
                <w:sz w:val="14"/>
                <w:szCs w:val="16"/>
                <w:lang w:val="en-US"/>
              </w:rPr>
              <w:fldChar w:fldCharType="begin" w:fldLock="1"/>
            </w:r>
            <w:r w:rsidR="001D3C8C">
              <w:rPr>
                <w:color w:val="0D0D0D"/>
                <w:sz w:val="14"/>
                <w:szCs w:val="16"/>
                <w:lang w:val="en-US"/>
              </w:rPr>
              <w:instrText>ADDIN CSL_CITATION {"citationItems":[{"id":"ITEM-1","itemData":{"DOI":"10.1016/j.apenergy.2016.08.055","ISSN":"03062619","abstract":"The increasing share of fluctuating renewable energy generation in the energy system increases the need for flexibility options. Building energy systems (BES) with their corresponding thermal energy storages (TES) can be one option for supplying flexibility. To use this option efficiently, a framework to quantify the flexibility of the BES is necessary. It is found that the flexibility of a BES can hardly be described with one single flexibility indicator. Therefore, this paper develops a method to analyze the flexibility of BES in terms of time, power and energy. Different influencing factors are considered, like the heat generator and the thermal storage size. Additionally, the option to aggregate the different flexibility measures on a city district level is addressed. This is necessary as single buildings have a minor impact on higher level energy systems. Finally, a comparison to other flexibility options like battery storage is discussed.","author":[{"dropping-particle":"","family":"Stinner","given":"Sebastian","non-dropping-particle":"","parse-names":false,"suffix":""},{"dropping-particle":"","family":"Huchtemann","given":"Kristian","non-dropping-particle":"","parse-names":false,"suffix":""},{"dropping-particle":"","family":"Müller","given":"Dirk","non-dropping-particle":"","parse-names":false,"suffix":""}],"container-title":"Applied Energy","id":"ITEM-1","issued":{"date-parts":[["2016"]]},"page":"140-154","publisher":"Elsevier Ltd","title":"Quantifying the operational flexibility of building energy systems with thermal energy storages","type":"article-journal","volume":"181"},"uris":["http://www.mendeley.com/documents/?uuid=0d142864-6036-4570-b4dd-d5f30817c592","http://www.mendeley.com/documents/?uuid=728658de-2316-4bf3-a10c-3b75811c1333","http://www.mendeley.com/documents/?uuid=3331c166-2ff9-49e6-9f39-8b05cbfc0566"]}],"mendeley":{"formattedCitation":"(Stinner et al., 2016)","plainTextFormattedCitation":"(Stinner et al., 2016)","previouslyFormattedCitation":"(Stinner et al. 2016)"},"properties":{"noteIndex":0},"schema":"https://github.com/citation-style-language/schema/raw/master/csl-citation.json"}</w:instrText>
            </w:r>
            <w:r w:rsidRPr="00CA7A69">
              <w:rPr>
                <w:color w:val="0D0D0D"/>
                <w:sz w:val="14"/>
                <w:szCs w:val="16"/>
                <w:lang w:val="en-US"/>
              </w:rPr>
              <w:fldChar w:fldCharType="separate"/>
            </w:r>
            <w:r w:rsidR="001D3C8C" w:rsidRPr="001D3C8C">
              <w:rPr>
                <w:noProof/>
                <w:color w:val="0D0D0D"/>
                <w:sz w:val="14"/>
                <w:szCs w:val="16"/>
                <w:lang w:val="en-US"/>
              </w:rPr>
              <w:t>(Stinner et al., 2016)</w:t>
            </w:r>
            <w:r w:rsidRPr="00CA7A69">
              <w:rPr>
                <w:color w:val="0D0D0D"/>
                <w:sz w:val="14"/>
                <w:szCs w:val="16"/>
                <w:lang w:val="en-US"/>
              </w:rPr>
              <w:fldChar w:fldCharType="end"/>
            </w:r>
          </w:p>
        </w:tc>
      </w:tr>
      <w:tr w:rsidR="00CA7A69" w:rsidRPr="00CA7A69" w14:paraId="591F0CBC" w14:textId="77777777" w:rsidTr="00117EAB">
        <w:trPr>
          <w:trHeight w:val="478"/>
          <w:jc w:val="center"/>
        </w:trPr>
        <w:tc>
          <w:tcPr>
            <w:tcW w:w="546" w:type="dxa"/>
            <w:tcBorders>
              <w:top w:val="single" w:sz="4" w:space="0" w:color="auto"/>
              <w:left w:val="nil"/>
              <w:bottom w:val="nil"/>
              <w:right w:val="nil"/>
            </w:tcBorders>
            <w:vAlign w:val="center"/>
          </w:tcPr>
          <w:p w14:paraId="73A4824F" w14:textId="6ED1ED0E" w:rsidR="00CA7A69" w:rsidRPr="00CA7A69" w:rsidRDefault="005B195F" w:rsidP="00CA7A69">
            <w:pPr>
              <w:spacing w:before="8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lastRenderedPageBreak/>
              <w:t>2</w:t>
            </w:r>
            <w:r w:rsidR="00CA7A69" w:rsidRPr="00CA7A69">
              <w:rPr>
                <w:rFonts w:ascii="Palatino Linotype" w:hAnsi="Palatino Linotype"/>
                <w:color w:val="0D0D0D"/>
                <w:sz w:val="14"/>
                <w:szCs w:val="16"/>
                <w:lang w:val="en-GB"/>
              </w:rPr>
              <w:t>.</w:t>
            </w:r>
            <w:r>
              <w:rPr>
                <w:rFonts w:ascii="Palatino Linotype" w:hAnsi="Palatino Linotype"/>
                <w:color w:val="0D0D0D"/>
                <w:sz w:val="14"/>
                <w:szCs w:val="16"/>
                <w:lang w:val="en-GB"/>
              </w:rPr>
              <w:t>3</w:t>
            </w:r>
          </w:p>
        </w:tc>
        <w:tc>
          <w:tcPr>
            <w:tcW w:w="3024" w:type="dxa"/>
            <w:tcBorders>
              <w:top w:val="single" w:sz="4" w:space="0" w:color="auto"/>
              <w:left w:val="nil"/>
              <w:bottom w:val="nil"/>
              <w:right w:val="nil"/>
            </w:tcBorders>
            <w:vAlign w:val="center"/>
          </w:tcPr>
          <w:p w14:paraId="0927FD59" w14:textId="77777777" w:rsidR="00CA7A69" w:rsidRPr="00CA7A69" w:rsidRDefault="00CA7A69" w:rsidP="00CA7A69">
            <w:pPr>
              <w:spacing w:before="8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Available Electric Energy Flexibility (AEEF)</w:t>
            </w:r>
          </w:p>
        </w:tc>
        <w:tc>
          <w:tcPr>
            <w:tcW w:w="3964" w:type="dxa"/>
            <w:tcBorders>
              <w:top w:val="single" w:sz="4" w:space="0" w:color="auto"/>
              <w:left w:val="nil"/>
              <w:bottom w:val="nil"/>
              <w:right w:val="nil"/>
            </w:tcBorders>
            <w:vAlign w:val="center"/>
          </w:tcPr>
          <w:p w14:paraId="5E2F017E" w14:textId="77777777" w:rsidR="00CA7A69" w:rsidRPr="00CA7A69" w:rsidRDefault="00CA7A69" w:rsidP="00CA7A69">
            <w:pPr>
              <w:spacing w:line="360" w:lineRule="auto"/>
              <w:jc w:val="center"/>
              <w:rPr>
                <w:rFonts w:eastAsia="Calibri"/>
                <w:color w:val="0D0D0D"/>
                <w:sz w:val="18"/>
                <w:lang w:val="en-US"/>
              </w:rPr>
            </w:pPr>
            <m:oMathPara>
              <m:oMathParaPr>
                <m:jc m:val="left"/>
              </m:oMathParaPr>
              <m:oMath>
                <m:r>
                  <w:rPr>
                    <w:rFonts w:ascii="Cambria Math" w:hAnsi="Cambria Math"/>
                    <w:color w:val="0D0D0D"/>
                    <w:sz w:val="18"/>
                  </w:rPr>
                  <m:t>AEEF</m:t>
                </m:r>
                <m:r>
                  <w:rPr>
                    <w:rFonts w:ascii="Cambria Math" w:hAnsi="Cambria Math"/>
                    <w:color w:val="0D0D0D"/>
                    <w:sz w:val="18"/>
                    <w:lang w:val="en-US"/>
                  </w:rPr>
                  <m:t>=</m:t>
                </m:r>
                <m:nary>
                  <m:naryPr>
                    <m:limLoc m:val="subSup"/>
                    <m:ctrlPr>
                      <w:rPr>
                        <w:rFonts w:ascii="Cambria Math" w:hAnsi="Cambria Math"/>
                        <w:i/>
                        <w:color w:val="0D0D0D"/>
                        <w:sz w:val="18"/>
                      </w:rPr>
                    </m:ctrlPr>
                  </m:naryPr>
                  <m:sub>
                    <m:r>
                      <w:rPr>
                        <w:rFonts w:ascii="Cambria Math" w:hAnsi="Cambria Math"/>
                        <w:color w:val="0D0D0D"/>
                        <w:sz w:val="18"/>
                        <w:lang w:val="en-GB"/>
                      </w:rPr>
                      <m:t>0</m:t>
                    </m:r>
                  </m:sub>
                  <m:sup>
                    <m:r>
                      <w:rPr>
                        <w:rFonts w:ascii="Cambria Math" w:hAnsi="Cambria Math"/>
                        <w:color w:val="0D0D0D"/>
                        <w:sz w:val="18"/>
                      </w:rPr>
                      <m:t>T</m:t>
                    </m:r>
                  </m:sup>
                  <m:e>
                    <m:d>
                      <m:dPr>
                        <m:begChr m:val="|"/>
                        <m:endChr m:val="|"/>
                        <m:ctrlPr>
                          <w:rPr>
                            <w:rFonts w:ascii="Cambria Math" w:hAnsi="Cambria Math"/>
                            <w:i/>
                            <w:color w:val="0D0D0D"/>
                            <w:sz w:val="18"/>
                          </w:rPr>
                        </m:ctrlPr>
                      </m:dPr>
                      <m:e>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DR</m:t>
                            </m:r>
                          </m:sub>
                        </m:sSub>
                        <m:r>
                          <w:rPr>
                            <w:rFonts w:ascii="Cambria Math" w:hAnsi="Cambria Math"/>
                            <w:color w:val="0D0D0D"/>
                            <w:sz w:val="18"/>
                            <w:lang w:val="en-GB"/>
                          </w:rPr>
                          <m:t>-</m:t>
                        </m:r>
                        <m:sSub>
                          <m:sSubPr>
                            <m:ctrlPr>
                              <w:rPr>
                                <w:rFonts w:ascii="Cambria Math" w:hAnsi="Cambria Math"/>
                                <w:i/>
                                <w:color w:val="0D0D0D"/>
                                <w:sz w:val="18"/>
                              </w:rPr>
                            </m:ctrlPr>
                          </m:sSubPr>
                          <m:e>
                            <m:r>
                              <w:rPr>
                                <w:rFonts w:ascii="Cambria Math" w:hAnsi="Cambria Math"/>
                                <w:color w:val="0D0D0D"/>
                                <w:sz w:val="18"/>
                              </w:rPr>
                              <m:t>P</m:t>
                            </m:r>
                          </m:e>
                          <m:sub>
                            <m:r>
                              <w:rPr>
                                <w:rFonts w:ascii="Cambria Math" w:hAnsi="Cambria Math"/>
                                <w:color w:val="0D0D0D"/>
                                <w:sz w:val="18"/>
                              </w:rPr>
                              <m:t>b</m:t>
                            </m:r>
                          </m:sub>
                        </m:sSub>
                      </m:e>
                    </m:d>
                  </m:e>
                </m:nary>
                <m:r>
                  <w:rPr>
                    <w:rFonts w:ascii="Cambria Math" w:hAnsi="Cambria Math"/>
                    <w:color w:val="0D0D0D"/>
                    <w:sz w:val="18"/>
                    <w:lang w:val="en-US"/>
                  </w:rPr>
                  <m:t>dt</m:t>
                </m:r>
              </m:oMath>
            </m:oMathPara>
          </w:p>
        </w:tc>
        <w:tc>
          <w:tcPr>
            <w:tcW w:w="5391" w:type="dxa"/>
            <w:tcBorders>
              <w:top w:val="single" w:sz="4" w:space="0" w:color="auto"/>
              <w:left w:val="nil"/>
              <w:bottom w:val="nil"/>
              <w:right w:val="nil"/>
            </w:tcBorders>
          </w:tcPr>
          <w:p w14:paraId="4C592786"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m:t>
                  </m:r>
                </m:e>
                <m:sub>
                  <m:r>
                    <w:rPr>
                      <w:rFonts w:ascii="Cambria Math" w:hAnsi="Cambria Math"/>
                      <w:color w:val="0D0D0D"/>
                      <w:sz w:val="16"/>
                      <w:szCs w:val="18"/>
                    </w:rPr>
                    <m:t>DR</m:t>
                  </m:r>
                </m:sub>
              </m:sSub>
            </m:oMath>
            <w:r w:rsidRPr="00CA7A69">
              <w:rPr>
                <w:rFonts w:ascii="Palatino Linotype" w:hAnsi="Palatino Linotype"/>
                <w:color w:val="0D0D0D"/>
                <w:sz w:val="16"/>
                <w:szCs w:val="18"/>
                <w:lang w:val="en-GB"/>
              </w:rPr>
              <w:t>: electric power during the flex. Event</w:t>
            </w:r>
          </w:p>
          <w:p w14:paraId="134E16F9"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m:t>
                  </m:r>
                </m:e>
                <m:sub>
                  <m:r>
                    <w:rPr>
                      <w:rFonts w:ascii="Cambria Math" w:hAnsi="Cambria Math"/>
                      <w:color w:val="0D0D0D"/>
                      <w:sz w:val="16"/>
                      <w:szCs w:val="18"/>
                    </w:rPr>
                    <m:t>b</m:t>
                  </m:r>
                </m:sub>
              </m:sSub>
            </m:oMath>
            <w:r w:rsidRPr="00CA7A69">
              <w:rPr>
                <w:rFonts w:ascii="Palatino Linotype" w:hAnsi="Palatino Linotype"/>
                <w:color w:val="0D0D0D"/>
                <w:sz w:val="16"/>
                <w:szCs w:val="18"/>
                <w:lang w:val="en-GB"/>
              </w:rPr>
              <w:t>: electric power during the ref. event</w:t>
            </w:r>
          </w:p>
          <w:p w14:paraId="35D41963"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w:t>
            </w:r>
          </w:p>
          <w:p w14:paraId="24DEB705"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T: time period</w:t>
            </w:r>
          </w:p>
        </w:tc>
        <w:tc>
          <w:tcPr>
            <w:tcW w:w="1413" w:type="dxa"/>
            <w:tcBorders>
              <w:top w:val="single" w:sz="4" w:space="0" w:color="auto"/>
              <w:left w:val="nil"/>
              <w:bottom w:val="nil"/>
              <w:right w:val="nil"/>
            </w:tcBorders>
          </w:tcPr>
          <w:p w14:paraId="0F1FFC4F" w14:textId="4E07F573" w:rsidR="00CA7A69" w:rsidRPr="00CA7A69" w:rsidRDefault="00CA7A69" w:rsidP="00CA7A69">
            <w:pPr>
              <w:spacing w:before="20" w:line="360" w:lineRule="auto"/>
              <w:jc w:val="both"/>
              <w:rPr>
                <w:color w:val="0D0D0D"/>
                <w:sz w:val="14"/>
                <w:szCs w:val="16"/>
                <w:lang w:val="en-GB"/>
              </w:rPr>
            </w:pPr>
            <w:r w:rsidRPr="00CA7A69">
              <w:rPr>
                <w:color w:val="0D0D0D"/>
                <w:sz w:val="14"/>
                <w:szCs w:val="16"/>
              </w:rPr>
              <w:fldChar w:fldCharType="begin" w:fldLock="1"/>
            </w:r>
            <w:r w:rsidR="001D3C8C">
              <w:rPr>
                <w:color w:val="0D0D0D"/>
                <w:sz w:val="14"/>
                <w:szCs w:val="16"/>
                <w:lang w:val="en-GB"/>
              </w:rPr>
              <w:instrText>ADDIN CSL_CITATION {"citationItems":[{"id":"ITEM-1","itemData":{"DOI":"10.1016/j.enbuild.2020.110142","ISSN":"03787788","abstract":"The aim of the present paper is to investigate the influence of electricity tariffs on energy flexibility in buildings and associated energy costs. A residential building located in Stuttgart, Germany, equipped with a hybrid heat pump which is coupled with a thermal energy storage unit and a gas boiler is used as a case study. A model predictive control algorithm is used to minimise the daily operational cost over a full heating season. Several demand response programs based on controlling the heat pump power consumption were tested and analysed by adopting different metrics capable of describing the flexibility potential and cost of demand response programs. Several tariff structures, including: real-time pricing, two-level day-night tariffs and critical-peak pricing with both fixed and variable feed-in price components, were investigated. The results show that the building can provide up to 1370 kWhe of energy flexibility over the heating season with an average specific (marginal) costs of between €0.024–0.035 per kWhe of flexibility provided. The demand response programs lead to higher utilisation of thermal energy storage along with increased boiler consumption, by up to 17.1% and 12.1%, respectively in case of maximum demand response intensity. This in turn leads to a higher overall primary energy consumption of between 1.6% and 9.1% depending on demand response intensity. Typically, real-time pricing is the most favourable tariff structure, capable of offering the greatest energy flexibility with lowest associated electricity costs.","author":[{"dropping-particle":"","family":"Fitzpatrick","given":"Peter","non-dropping-particle":"","parse-names":false,"suffix":""},{"dropping-particle":"","family":"D'Ettorre","given":"Francesco","non-dropping-particle":"","parse-names":false,"suffix":""},{"dropping-particle":"","family":"Rosa","given":"Mattia","non-dropping-particle":"De","parse-names":false,"suffix":""},{"dropping-particle":"","family":"Yadack","given":"Malcolm","non-dropping-particle":"","parse-names":false,"suffix":""},{"dropping-particle":"","family":"Eicker","given":"Ursula","non-dropping-particle":"","parse-names":false,"suffix":""},{"dropping-particle":"","family":"Finn","given":"Donal P.","non-dropping-particle":"","parse-names":false,"suffix":""}],"container-title":"Energy and Buildings","id":"ITEM-1","issued":{"date-parts":[["2020"]]},"page":"110142","publisher":"The Authors","title":"Influence of electricity prices on energy flexibility of integrated hybrid heat pump and thermal storage systems in a residential building","type":"article-journal","volume":"223"},"uris":["http://www.mendeley.com/documents/?uuid=d5ab0326-ff8f-445e-8352-0a5786935851","http://www.mendeley.com/documents/?uuid=364c9e76-d9b9-45be-8b51-2a81adda8d25","http://www.mendeley.com/documents/?uuid=a609102f-1571-470c-8070-cd41ea7871a0"]}],"mendeley":{"formattedCitation":"(Fitzpatrick et al., 2020)","plainTextFormattedCitation":"(Fitzpatrick et al., 2020)","previouslyFormattedCitation":"(Fitzpatrick et al. 2020)"},"properties":{"noteIndex":0},"schema":"https://github.com/citation-style-language/schema/raw/master/csl-citation.json"}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GB"/>
              </w:rPr>
              <w:t>(Fitzpatrick et al., 2020)</w:t>
            </w:r>
            <w:r w:rsidRPr="00CA7A69">
              <w:rPr>
                <w:color w:val="0D0D0D"/>
                <w:sz w:val="14"/>
                <w:szCs w:val="16"/>
              </w:rPr>
              <w:fldChar w:fldCharType="end"/>
            </w:r>
          </w:p>
        </w:tc>
      </w:tr>
      <w:tr w:rsidR="00CA7A69" w:rsidRPr="00CA7A69" w14:paraId="1B1DC5CA" w14:textId="77777777" w:rsidTr="00117EAB">
        <w:trPr>
          <w:trHeight w:val="478"/>
          <w:jc w:val="center"/>
        </w:trPr>
        <w:tc>
          <w:tcPr>
            <w:tcW w:w="546" w:type="dxa"/>
            <w:tcBorders>
              <w:top w:val="nil"/>
              <w:left w:val="nil"/>
              <w:bottom w:val="nil"/>
              <w:right w:val="nil"/>
            </w:tcBorders>
            <w:vAlign w:val="center"/>
          </w:tcPr>
          <w:p w14:paraId="17385E51" w14:textId="5738A0D9" w:rsidR="00CA7A69" w:rsidRPr="00CA7A69" w:rsidRDefault="005B195F" w:rsidP="00CA7A69">
            <w:pPr>
              <w:spacing w:before="8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2</w:t>
            </w:r>
            <w:r w:rsidR="00CA7A69" w:rsidRPr="00CA7A69">
              <w:rPr>
                <w:rFonts w:ascii="Palatino Linotype" w:hAnsi="Palatino Linotype"/>
                <w:color w:val="0D0D0D"/>
                <w:sz w:val="14"/>
                <w:szCs w:val="16"/>
                <w:lang w:val="en-GB"/>
              </w:rPr>
              <w:t>.</w:t>
            </w:r>
            <w:r>
              <w:rPr>
                <w:rFonts w:ascii="Palatino Linotype" w:hAnsi="Palatino Linotype"/>
                <w:color w:val="0D0D0D"/>
                <w:sz w:val="14"/>
                <w:szCs w:val="16"/>
                <w:lang w:val="en-GB"/>
              </w:rPr>
              <w:t>4</w:t>
            </w:r>
          </w:p>
        </w:tc>
        <w:tc>
          <w:tcPr>
            <w:tcW w:w="3024" w:type="dxa"/>
            <w:tcBorders>
              <w:top w:val="nil"/>
              <w:left w:val="nil"/>
              <w:bottom w:val="nil"/>
              <w:right w:val="nil"/>
            </w:tcBorders>
            <w:vAlign w:val="center"/>
          </w:tcPr>
          <w:p w14:paraId="688710FB" w14:textId="77777777" w:rsidR="00CA7A69" w:rsidRPr="00CA7A69" w:rsidRDefault="00CA7A69" w:rsidP="00CA7A69">
            <w:pPr>
              <w:spacing w:before="8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Primary Energy Efficiency (PEE)</w:t>
            </w:r>
          </w:p>
        </w:tc>
        <w:tc>
          <w:tcPr>
            <w:tcW w:w="3964" w:type="dxa"/>
            <w:tcBorders>
              <w:top w:val="nil"/>
              <w:left w:val="nil"/>
              <w:bottom w:val="nil"/>
              <w:right w:val="nil"/>
            </w:tcBorders>
            <w:vAlign w:val="center"/>
          </w:tcPr>
          <w:p w14:paraId="20A358EF" w14:textId="77777777" w:rsidR="00CA7A69" w:rsidRPr="00CA7A69" w:rsidRDefault="00CA7A69" w:rsidP="00CA7A69">
            <w:pPr>
              <w:spacing w:line="360" w:lineRule="auto"/>
              <w:jc w:val="center"/>
              <w:rPr>
                <w:rFonts w:eastAsia="Calibri"/>
                <w:color w:val="0D0D0D"/>
                <w:sz w:val="18"/>
                <w:lang w:val="en-GB"/>
              </w:rPr>
            </w:pPr>
            <m:oMathPara>
              <m:oMathParaPr>
                <m:jc m:val="left"/>
              </m:oMathParaPr>
              <m:oMath>
                <m:r>
                  <w:rPr>
                    <w:rFonts w:ascii="Cambria Math" w:hAnsi="Cambria Math"/>
                    <w:color w:val="0D0D0D"/>
                    <w:sz w:val="18"/>
                    <w:lang w:val="en-GB"/>
                  </w:rPr>
                  <m:t>PEE=</m:t>
                </m:r>
                <m:f>
                  <m:fPr>
                    <m:ctrlPr>
                      <w:rPr>
                        <w:rFonts w:ascii="Cambria Math" w:hAnsi="Cambria Math"/>
                        <w:i/>
                        <w:color w:val="0D0D0D"/>
                        <w:sz w:val="18"/>
                      </w:rPr>
                    </m:ctrlPr>
                  </m:fPr>
                  <m:num>
                    <m:sSub>
                      <m:sSubPr>
                        <m:ctrlPr>
                          <w:rPr>
                            <w:rFonts w:ascii="Cambria Math" w:hAnsi="Cambria Math"/>
                            <w:i/>
                            <w:color w:val="0D0D0D"/>
                            <w:sz w:val="18"/>
                          </w:rPr>
                        </m:ctrlPr>
                      </m:sSubPr>
                      <m:e>
                        <m:r>
                          <w:rPr>
                            <w:rFonts w:ascii="Cambria Math" w:hAnsi="Cambria Math"/>
                            <w:color w:val="0D0D0D"/>
                            <w:sz w:val="18"/>
                          </w:rPr>
                          <m:t>PEC</m:t>
                        </m:r>
                      </m:e>
                      <m:sub>
                        <m:r>
                          <w:rPr>
                            <w:rFonts w:ascii="Cambria Math" w:hAnsi="Cambria Math"/>
                            <w:color w:val="0D0D0D"/>
                            <w:sz w:val="18"/>
                            <w:lang w:val="en-GB"/>
                          </w:rPr>
                          <m:t>b</m:t>
                        </m:r>
                      </m:sub>
                    </m:sSub>
                  </m:num>
                  <m:den>
                    <m:sSub>
                      <m:sSubPr>
                        <m:ctrlPr>
                          <w:rPr>
                            <w:rFonts w:ascii="Cambria Math" w:hAnsi="Cambria Math"/>
                            <w:i/>
                            <w:color w:val="0D0D0D"/>
                            <w:sz w:val="18"/>
                          </w:rPr>
                        </m:ctrlPr>
                      </m:sSubPr>
                      <m:e>
                        <m:r>
                          <w:rPr>
                            <w:rFonts w:ascii="Cambria Math" w:hAnsi="Cambria Math"/>
                            <w:color w:val="0D0D0D"/>
                            <w:sz w:val="18"/>
                          </w:rPr>
                          <m:t>PEC</m:t>
                        </m:r>
                      </m:e>
                      <m:sub>
                        <m:r>
                          <w:rPr>
                            <w:rFonts w:ascii="Cambria Math" w:hAnsi="Cambria Math"/>
                            <w:color w:val="0D0D0D"/>
                            <w:sz w:val="18"/>
                          </w:rPr>
                          <m:t>DR</m:t>
                        </m:r>
                      </m:sub>
                    </m:sSub>
                  </m:den>
                </m:f>
              </m:oMath>
            </m:oMathPara>
          </w:p>
        </w:tc>
        <w:tc>
          <w:tcPr>
            <w:tcW w:w="5391" w:type="dxa"/>
            <w:tcBorders>
              <w:top w:val="nil"/>
              <w:left w:val="nil"/>
              <w:bottom w:val="nil"/>
              <w:right w:val="nil"/>
            </w:tcBorders>
          </w:tcPr>
          <w:p w14:paraId="359783F2"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PEC</m:t>
                  </m:r>
                </m:e>
                <m:sub>
                  <m:r>
                    <w:rPr>
                      <w:rFonts w:ascii="Cambria Math" w:hAnsi="Cambria Math"/>
                      <w:color w:val="0D0D0D"/>
                      <w:sz w:val="16"/>
                      <w:szCs w:val="18"/>
                      <w:lang w:val="en-GB"/>
                    </w:rPr>
                    <m:t>b</m:t>
                  </m:r>
                </m:sub>
              </m:sSub>
            </m:oMath>
            <w:r w:rsidRPr="00CA7A69">
              <w:rPr>
                <w:rFonts w:ascii="Palatino Linotype" w:hAnsi="Palatino Linotype"/>
                <w:color w:val="0D0D0D"/>
                <w:sz w:val="16"/>
                <w:szCs w:val="18"/>
                <w:lang w:val="en-GB"/>
              </w:rPr>
              <w:t>: Primary energy consumption of the ref. case</w:t>
            </w:r>
          </w:p>
          <w:p w14:paraId="10AD9A75"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PEC</m:t>
                  </m:r>
                </m:e>
                <m:sub>
                  <m:r>
                    <w:rPr>
                      <w:rFonts w:ascii="Cambria Math" w:hAnsi="Cambria Math"/>
                      <w:color w:val="0D0D0D"/>
                      <w:sz w:val="16"/>
                      <w:szCs w:val="18"/>
                      <w:lang w:val="en-GB"/>
                    </w:rPr>
                    <m:t>b</m:t>
                  </m:r>
                </m:sub>
              </m:sSub>
            </m:oMath>
            <w:r w:rsidRPr="00CA7A69">
              <w:rPr>
                <w:rFonts w:ascii="Palatino Linotype" w:hAnsi="Palatino Linotype"/>
                <w:color w:val="0D0D0D"/>
                <w:sz w:val="16"/>
                <w:szCs w:val="18"/>
                <w:lang w:val="en-GB"/>
              </w:rPr>
              <w:t>: Primary energy consumption of the flex. case</w:t>
            </w:r>
          </w:p>
        </w:tc>
        <w:tc>
          <w:tcPr>
            <w:tcW w:w="1413" w:type="dxa"/>
            <w:tcBorders>
              <w:top w:val="nil"/>
              <w:left w:val="nil"/>
              <w:bottom w:val="nil"/>
              <w:right w:val="nil"/>
            </w:tcBorders>
          </w:tcPr>
          <w:p w14:paraId="6F0B2F2D" w14:textId="1DDE3BD3" w:rsidR="00CA7A69" w:rsidRPr="00CA7A69" w:rsidRDefault="00CA7A69" w:rsidP="00CA7A69">
            <w:pPr>
              <w:spacing w:before="20" w:line="360" w:lineRule="auto"/>
              <w:jc w:val="both"/>
              <w:rPr>
                <w:color w:val="0D0D0D"/>
                <w:sz w:val="14"/>
                <w:szCs w:val="16"/>
                <w:lang w:val="en-GB"/>
              </w:rPr>
            </w:pPr>
            <w:r w:rsidRPr="00CA7A69">
              <w:rPr>
                <w:color w:val="0D0D0D"/>
                <w:sz w:val="14"/>
                <w:szCs w:val="16"/>
              </w:rPr>
              <w:fldChar w:fldCharType="begin" w:fldLock="1"/>
            </w:r>
            <w:r w:rsidR="001D3C8C">
              <w:rPr>
                <w:color w:val="0D0D0D"/>
                <w:sz w:val="14"/>
                <w:szCs w:val="16"/>
                <w:lang w:val="en-GB"/>
              </w:rPr>
              <w:instrText>ADDIN CSL_CITATION {"citationItems":[{"id":"ITEM-1","itemData":{"DOI":"10.1016/j.enbuild.2020.110142","ISSN":"03787788","abstract":"The aim of the present paper is to investigate the influence of electricity tariffs on energy flexibility in buildings and associated energy costs. A residential building located in Stuttgart, Germany, equipped with a hybrid heat pump which is coupled with a thermal energy storage unit and a gas boiler is used as a case study. A model predictive control algorithm is used to minimise the daily operational cost over a full heating season. Several demand response programs based on controlling the heat pump power consumption were tested and analysed by adopting different metrics capable of describing the flexibility potential and cost of demand response programs. Several tariff structures, including: real-time pricing, two-level day-night tariffs and critical-peak pricing with both fixed and variable feed-in price components, were investigated. The results show that the building can provide up to 1370 kWhe of energy flexibility over the heating season with an average specific (marginal) costs of between €0.024–0.035 per kWhe of flexibility provided. The demand response programs lead to higher utilisation of thermal energy storage along with increased boiler consumption, by up to 17.1% and 12.1%, respectively in case of maximum demand response intensity. This in turn leads to a higher overall primary energy consumption of between 1.6% and 9.1% depending on demand response intensity. Typically, real-time pricing is the most favourable tariff structure, capable of offering the greatest energy flexibility with lowest associated electricity costs.","author":[{"dropping-particle":"","family":"Fitzpatrick","given":"Peter","non-dropping-particle":"","parse-names":false,"suffix":""},{"dropping-particle":"","family":"D'Ettorre","given":"Francesco","non-dropping-particle":"","parse-names":false,"suffix":""},{"dropping-particle":"","family":"Rosa","given":"Mattia","non-dropping-particle":"De","parse-names":false,"suffix":""},{"dropping-particle":"","family":"Yadack","given":"Malcolm","non-dropping-particle":"","parse-names":false,"suffix":""},{"dropping-particle":"","family":"Eicker","given":"Ursula","non-dropping-particle":"","parse-names":false,"suffix":""},{"dropping-particle":"","family":"Finn","given":"Donal P.","non-dropping-particle":"","parse-names":false,"suffix":""}],"container-title":"Energy and Buildings","id":"ITEM-1","issued":{"date-parts":[["2020"]]},"page":"110142","publisher":"The Authors","title":"Influence of electricity prices on energy flexibility of integrated hybrid heat pump and thermal storage systems in a residential building","type":"article-journal","volume":"223"},"uris":["http://www.mendeley.com/documents/?uuid=a609102f-1571-470c-8070-cd41ea7871a0","http://www.mendeley.com/documents/?uuid=d5ab0326-ff8f-445e-8352-0a5786935851","http://www.mendeley.com/documents/?uuid=364c9e76-d9b9-45be-8b51-2a81adda8d25"]}],"mendeley":{"formattedCitation":"(Fitzpatrick et al., 2020)","plainTextFormattedCitation":"(Fitzpatrick et al., 2020)","previouslyFormattedCitation":"(Fitzpatrick et al. 2020)"},"properties":{"noteIndex":0},"schema":"https://github.com/citation-style-language/schema/raw/master/csl-citation.json"}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GB"/>
              </w:rPr>
              <w:t>(Fitzpatrick et al., 2020)</w:t>
            </w:r>
            <w:r w:rsidRPr="00CA7A69">
              <w:rPr>
                <w:color w:val="0D0D0D"/>
                <w:sz w:val="14"/>
                <w:szCs w:val="16"/>
              </w:rPr>
              <w:fldChar w:fldCharType="end"/>
            </w:r>
          </w:p>
        </w:tc>
      </w:tr>
      <w:tr w:rsidR="00CA7A69" w:rsidRPr="00CA7A69" w14:paraId="5B52BC94" w14:textId="77777777" w:rsidTr="00117EAB">
        <w:trPr>
          <w:trHeight w:val="478"/>
          <w:jc w:val="center"/>
        </w:trPr>
        <w:tc>
          <w:tcPr>
            <w:tcW w:w="546" w:type="dxa"/>
            <w:tcBorders>
              <w:top w:val="nil"/>
              <w:left w:val="nil"/>
              <w:bottom w:val="single" w:sz="4" w:space="0" w:color="auto"/>
              <w:right w:val="nil"/>
            </w:tcBorders>
            <w:vAlign w:val="center"/>
          </w:tcPr>
          <w:p w14:paraId="60399459" w14:textId="66798A01" w:rsidR="00CA7A69" w:rsidRPr="00CA7A69" w:rsidRDefault="005B195F" w:rsidP="00CA7A69">
            <w:pPr>
              <w:spacing w:before="80" w:line="360" w:lineRule="auto"/>
              <w:jc w:val="both"/>
              <w:rPr>
                <w:rFonts w:ascii="Palatino Linotype" w:hAnsi="Palatino Linotype"/>
                <w:color w:val="0D0D0D"/>
                <w:sz w:val="14"/>
                <w:szCs w:val="16"/>
                <w:lang w:val="en-GB"/>
              </w:rPr>
            </w:pPr>
            <w:r>
              <w:rPr>
                <w:rFonts w:ascii="Palatino Linotype" w:hAnsi="Palatino Linotype"/>
                <w:color w:val="0D0D0D"/>
                <w:sz w:val="14"/>
                <w:szCs w:val="16"/>
                <w:lang w:val="en-GB"/>
              </w:rPr>
              <w:t>2.5</w:t>
            </w:r>
          </w:p>
        </w:tc>
        <w:tc>
          <w:tcPr>
            <w:tcW w:w="3024" w:type="dxa"/>
            <w:tcBorders>
              <w:top w:val="nil"/>
              <w:left w:val="nil"/>
              <w:bottom w:val="single" w:sz="4" w:space="0" w:color="auto"/>
              <w:right w:val="nil"/>
            </w:tcBorders>
            <w:vAlign w:val="center"/>
          </w:tcPr>
          <w:p w14:paraId="1BFCFC7E" w14:textId="77777777" w:rsidR="00CA7A69" w:rsidRPr="00CA7A69" w:rsidRDefault="00CA7A69" w:rsidP="00CA7A69">
            <w:pPr>
              <w:spacing w:before="80" w:line="360" w:lineRule="auto"/>
              <w:jc w:val="center"/>
              <w:rPr>
                <w:rFonts w:ascii="Palatino Linotype" w:hAnsi="Palatino Linotype"/>
                <w:bCs/>
                <w:color w:val="0D0D0D"/>
                <w:sz w:val="16"/>
                <w:szCs w:val="18"/>
                <w:lang w:val="en-GB"/>
              </w:rPr>
            </w:pPr>
            <w:r w:rsidRPr="00CA7A69">
              <w:rPr>
                <w:rFonts w:ascii="Palatino Linotype" w:hAnsi="Palatino Linotype"/>
                <w:bCs/>
                <w:color w:val="0D0D0D"/>
                <w:sz w:val="16"/>
                <w:szCs w:val="18"/>
                <w:lang w:val="en-GB"/>
              </w:rPr>
              <w:t>Specific (Marginal) Costs (SC)</w:t>
            </w:r>
          </w:p>
        </w:tc>
        <w:tc>
          <w:tcPr>
            <w:tcW w:w="3964" w:type="dxa"/>
            <w:tcBorders>
              <w:top w:val="nil"/>
              <w:left w:val="nil"/>
              <w:bottom w:val="single" w:sz="4" w:space="0" w:color="auto"/>
              <w:right w:val="nil"/>
            </w:tcBorders>
          </w:tcPr>
          <w:p w14:paraId="536F1F4D" w14:textId="77777777" w:rsidR="00CA7A69" w:rsidRPr="00CA7A69" w:rsidRDefault="00CA7A69" w:rsidP="00CA7A69">
            <w:pPr>
              <w:spacing w:line="360" w:lineRule="auto"/>
              <w:jc w:val="center"/>
              <w:rPr>
                <w:rFonts w:eastAsia="Calibri"/>
                <w:color w:val="0D0D0D"/>
                <w:sz w:val="18"/>
                <w:lang w:val="en-GB"/>
              </w:rPr>
            </w:pPr>
            <m:oMathPara>
              <m:oMathParaPr>
                <m:jc m:val="left"/>
              </m:oMathParaPr>
              <m:oMath>
                <m:r>
                  <w:rPr>
                    <w:rFonts w:ascii="Cambria Math" w:hAnsi="Cambria Math"/>
                    <w:color w:val="0D0D0D"/>
                    <w:sz w:val="18"/>
                    <w:lang w:val="en-GB"/>
                  </w:rPr>
                  <m:t>SC=</m:t>
                </m:r>
                <m:f>
                  <m:fPr>
                    <m:ctrlPr>
                      <w:rPr>
                        <w:rFonts w:ascii="Cambria Math" w:hAnsi="Cambria Math"/>
                        <w:i/>
                        <w:color w:val="0D0D0D"/>
                        <w:sz w:val="18"/>
                      </w:rPr>
                    </m:ctrlPr>
                  </m:fPr>
                  <m:num>
                    <m:sSub>
                      <m:sSubPr>
                        <m:ctrlPr>
                          <w:rPr>
                            <w:rFonts w:ascii="Cambria Math" w:hAnsi="Cambria Math"/>
                            <w:i/>
                            <w:color w:val="0D0D0D"/>
                            <w:sz w:val="18"/>
                          </w:rPr>
                        </m:ctrlPr>
                      </m:sSubPr>
                      <m:e>
                        <m:r>
                          <w:rPr>
                            <w:rFonts w:ascii="Cambria Math" w:hAnsi="Cambria Math"/>
                            <w:color w:val="0D0D0D"/>
                            <w:sz w:val="18"/>
                          </w:rPr>
                          <m:t>C</m:t>
                        </m:r>
                      </m:e>
                      <m:sub>
                        <m:r>
                          <w:rPr>
                            <w:rFonts w:ascii="Cambria Math" w:hAnsi="Cambria Math"/>
                            <w:color w:val="0D0D0D"/>
                            <w:sz w:val="18"/>
                          </w:rPr>
                          <m:t>DR</m:t>
                        </m:r>
                      </m:sub>
                    </m:sSub>
                  </m:num>
                  <m:den>
                    <m:r>
                      <w:rPr>
                        <w:rFonts w:ascii="Cambria Math" w:hAnsi="Cambria Math"/>
                        <w:color w:val="0D0D0D"/>
                        <w:sz w:val="18"/>
                      </w:rPr>
                      <m:t>AEEF</m:t>
                    </m:r>
                  </m:den>
                </m:f>
              </m:oMath>
            </m:oMathPara>
          </w:p>
        </w:tc>
        <w:tc>
          <w:tcPr>
            <w:tcW w:w="5391" w:type="dxa"/>
            <w:tcBorders>
              <w:top w:val="nil"/>
              <w:left w:val="nil"/>
              <w:bottom w:val="single" w:sz="4" w:space="0" w:color="auto"/>
              <w:right w:val="nil"/>
            </w:tcBorders>
          </w:tcPr>
          <w:p w14:paraId="6910A948" w14:textId="77777777" w:rsidR="00CA7A69" w:rsidRPr="00CA7A69" w:rsidRDefault="00CA7A69" w:rsidP="00CA7A69">
            <w:pPr>
              <w:spacing w:line="360" w:lineRule="auto"/>
              <w:jc w:val="both"/>
              <w:rPr>
                <w:rFonts w:ascii="Palatino Linotype" w:hAnsi="Palatino Linotype"/>
                <w:color w:val="0D0D0D"/>
                <w:sz w:val="16"/>
                <w:szCs w:val="18"/>
                <w:lang w:val="en-GB"/>
              </w:rPr>
            </w:pPr>
            <w:r w:rsidRPr="00CA7A69">
              <w:rPr>
                <w:rFonts w:ascii="Palatino Linotype" w:hAnsi="Palatino Linotype"/>
                <w:color w:val="0D0D0D"/>
                <w:sz w:val="16"/>
                <w:szCs w:val="18"/>
                <w:lang w:val="en-GB"/>
              </w:rPr>
              <w:sym w:font="Symbol" w:char="F0B7"/>
            </w:r>
            <w:r w:rsidRPr="00CA7A69">
              <w:rPr>
                <w:rFonts w:ascii="Palatino Linotype" w:hAnsi="Palatino Linotype"/>
                <w:color w:val="0D0D0D"/>
                <w:sz w:val="16"/>
                <w:szCs w:val="18"/>
                <w:lang w:val="en-GB"/>
              </w:rPr>
              <w:t xml:space="preserve"> </w:t>
            </w:r>
            <m:oMath>
              <m:sSub>
                <m:sSubPr>
                  <m:ctrlPr>
                    <w:rPr>
                      <w:rFonts w:ascii="Cambria Math" w:hAnsi="Cambria Math"/>
                      <w:i/>
                      <w:color w:val="0D0D0D"/>
                      <w:sz w:val="16"/>
                      <w:szCs w:val="18"/>
                    </w:rPr>
                  </m:ctrlPr>
                </m:sSubPr>
                <m:e>
                  <m:r>
                    <w:rPr>
                      <w:rFonts w:ascii="Cambria Math" w:hAnsi="Cambria Math"/>
                      <w:color w:val="0D0D0D"/>
                      <w:sz w:val="16"/>
                      <w:szCs w:val="18"/>
                    </w:rPr>
                    <m:t>C</m:t>
                  </m:r>
                </m:e>
                <m:sub>
                  <m:r>
                    <w:rPr>
                      <w:rFonts w:ascii="Cambria Math" w:hAnsi="Cambria Math"/>
                      <w:color w:val="0D0D0D"/>
                      <w:sz w:val="16"/>
                      <w:szCs w:val="18"/>
                    </w:rPr>
                    <m:t>DR</m:t>
                  </m:r>
                </m:sub>
              </m:sSub>
            </m:oMath>
            <w:r w:rsidRPr="00CA7A69">
              <w:rPr>
                <w:rFonts w:ascii="Palatino Linotype" w:hAnsi="Palatino Linotype"/>
                <w:color w:val="0D0D0D"/>
                <w:sz w:val="16"/>
                <w:szCs w:val="18"/>
                <w:lang w:val="en-GB"/>
              </w:rPr>
              <w:t>: Difference in operating costs of cases ref. and flex</w:t>
            </w:r>
          </w:p>
        </w:tc>
        <w:tc>
          <w:tcPr>
            <w:tcW w:w="1413" w:type="dxa"/>
            <w:tcBorders>
              <w:top w:val="nil"/>
              <w:left w:val="nil"/>
              <w:bottom w:val="single" w:sz="4" w:space="0" w:color="auto"/>
              <w:right w:val="nil"/>
            </w:tcBorders>
          </w:tcPr>
          <w:p w14:paraId="3F3B26F8" w14:textId="1DC194A8" w:rsidR="00CA7A69" w:rsidRPr="00CA7A69" w:rsidRDefault="00CA7A69" w:rsidP="00CA7A69">
            <w:pPr>
              <w:spacing w:before="20" w:line="360" w:lineRule="auto"/>
              <w:jc w:val="both"/>
              <w:rPr>
                <w:color w:val="0D0D0D"/>
                <w:sz w:val="14"/>
                <w:szCs w:val="16"/>
                <w:lang w:val="en-GB"/>
              </w:rPr>
            </w:pPr>
            <w:r w:rsidRPr="00CA7A69">
              <w:rPr>
                <w:color w:val="0D0D0D"/>
                <w:sz w:val="14"/>
                <w:szCs w:val="16"/>
              </w:rPr>
              <w:fldChar w:fldCharType="begin" w:fldLock="1"/>
            </w:r>
            <w:r w:rsidR="001D3C8C">
              <w:rPr>
                <w:color w:val="0D0D0D"/>
                <w:sz w:val="14"/>
                <w:szCs w:val="16"/>
                <w:lang w:val="en-GB"/>
              </w:rPr>
              <w:instrText>ADDIN CSL_CITATION {"citationItems":[{"id":"ITEM-1","itemData":{"DOI":"10.1016/j.enbuild.2020.110142","ISSN":"03787788","abstract":"The aim of the present paper is to investigate the influence of electricity tariffs on energy flexibility in buildings and associated energy costs. A residential building located in Stuttgart, Germany, equipped with a hybrid heat pump which is coupled with a thermal energy storage unit and a gas boiler is used as a case study. A model predictive control algorithm is used to minimise the daily operational cost over a full heating season. Several demand response programs based on controlling the heat pump power consumption were tested and analysed by adopting different metrics capable of describing the flexibility potential and cost of demand response programs. Several tariff structures, including: real-time pricing, two-level day-night tariffs and critical-peak pricing with both fixed and variable feed-in price components, were investigated. The results show that the building can provide up to 1370 kWhe of energy flexibility over the heating season with an average specific (marginal) costs of between €0.024–0.035 per kWhe of flexibility provided. The demand response programs lead to higher utilisation of thermal energy storage along with increased boiler consumption, by up to 17.1% and 12.1%, respectively in case of maximum demand response intensity. This in turn leads to a higher overall primary energy consumption of between 1.6% and 9.1% depending on demand response intensity. Typically, real-time pricing is the most favourable tariff structure, capable of offering the greatest energy flexibility with lowest associated electricity costs.","author":[{"dropping-particle":"","family":"Fitzpatrick","given":"Peter","non-dropping-particle":"","parse-names":false,"suffix":""},{"dropping-particle":"","family":"D'Ettorre","given":"Francesco","non-dropping-particle":"","parse-names":false,"suffix":""},{"dropping-particle":"","family":"Rosa","given":"Mattia","non-dropping-particle":"De","parse-names":false,"suffix":""},{"dropping-particle":"","family":"Yadack","given":"Malcolm","non-dropping-particle":"","parse-names":false,"suffix":""},{"dropping-particle":"","family":"Eicker","given":"Ursula","non-dropping-particle":"","parse-names":false,"suffix":""},{"dropping-particle":"","family":"Finn","given":"Donal P.","non-dropping-particle":"","parse-names":false,"suffix":""}],"container-title":"Energy and Buildings","id":"ITEM-1","issued":{"date-parts":[["2020"]]},"page":"110142","publisher":"The Authors","title":"Influence of electricity prices on energy flexibility of integrated hybrid heat pump and thermal storage systems in a residential building","type":"article-journal","volume":"223"},"uris":["http://www.mendeley.com/documents/?uuid=a609102f-1571-470c-8070-cd41ea7871a0","http://www.mendeley.com/documents/?uuid=d5ab0326-ff8f-445e-8352-0a5786935851","http://www.mendeley.com/documents/?uuid=364c9e76-d9b9-45be-8b51-2a81adda8d25"]}],"mendeley":{"formattedCitation":"(Fitzpatrick et al., 2020)","plainTextFormattedCitation":"(Fitzpatrick et al., 2020)","previouslyFormattedCitation":"(Fitzpatrick et al. 2020)"},"properties":{"noteIndex":0},"schema":"https://github.com/citation-style-language/schema/raw/master/csl-citation.json"}</w:instrText>
            </w:r>
            <w:r w:rsidRPr="00CA7A69">
              <w:rPr>
                <w:color w:val="0D0D0D"/>
                <w:sz w:val="14"/>
                <w:szCs w:val="16"/>
              </w:rPr>
              <w:fldChar w:fldCharType="separate"/>
            </w:r>
            <w:r w:rsidR="001D3C8C" w:rsidRPr="001D3C8C">
              <w:rPr>
                <w:noProof/>
                <w:color w:val="0D0D0D"/>
                <w:sz w:val="14"/>
                <w:szCs w:val="16"/>
                <w:lang w:val="en-GB"/>
              </w:rPr>
              <w:t>(Fitzpatrick et al., 2020)</w:t>
            </w:r>
            <w:r w:rsidRPr="00CA7A69">
              <w:rPr>
                <w:color w:val="0D0D0D"/>
                <w:sz w:val="14"/>
                <w:szCs w:val="16"/>
              </w:rPr>
              <w:fldChar w:fldCharType="end"/>
            </w:r>
          </w:p>
        </w:tc>
      </w:tr>
    </w:tbl>
    <w:p w14:paraId="36C5F1B0" w14:textId="77777777" w:rsidR="00CA7A69" w:rsidRPr="00CA7A69" w:rsidRDefault="00CA7A69" w:rsidP="00CA7A69">
      <w:pPr>
        <w:keepNext/>
        <w:spacing w:before="120" w:after="0" w:line="360" w:lineRule="auto"/>
        <w:jc w:val="both"/>
        <w:rPr>
          <w:rFonts w:ascii="Times New Roman" w:eastAsia="Times New Roman" w:hAnsi="Times New Roman" w:cs="Times New Roman"/>
          <w:b/>
          <w:bCs/>
          <w:sz w:val="20"/>
          <w:szCs w:val="20"/>
          <w:lang w:val="en-GB" w:eastAsia="it-IT"/>
        </w:rPr>
        <w:sectPr w:rsidR="00CA7A69" w:rsidRPr="00CA7A69" w:rsidSect="0082107A">
          <w:pgSz w:w="16839" w:h="11907" w:orient="landscape" w:code="9"/>
          <w:pgMar w:top="1701" w:right="2268" w:bottom="1701" w:left="2268" w:header="1134" w:footer="1134" w:gutter="567"/>
          <w:pgNumType w:start="98"/>
          <w:cols w:space="720"/>
          <w:titlePg/>
          <w:docGrid w:linePitch="326"/>
        </w:sectPr>
      </w:pPr>
    </w:p>
    <w:p w14:paraId="62D5C37A" w14:textId="77777777" w:rsidR="00CA7A69" w:rsidRPr="00CA7A69" w:rsidRDefault="00CA7A69" w:rsidP="00801043">
      <w:pPr>
        <w:spacing w:after="0" w:line="276" w:lineRule="auto"/>
        <w:jc w:val="both"/>
        <w:rPr>
          <w:rFonts w:ascii="Times New Roman" w:eastAsia="Calibri" w:hAnsi="Times New Roman" w:cs="Times New Roman"/>
          <w:sz w:val="24"/>
          <w:szCs w:val="20"/>
          <w:lang w:val="en-GB"/>
        </w:rPr>
      </w:pPr>
      <w:r w:rsidRPr="00CA7A69">
        <w:rPr>
          <w:rFonts w:ascii="Times New Roman" w:eastAsia="Calibri" w:hAnsi="Times New Roman" w:cs="Times New Roman"/>
          <w:sz w:val="24"/>
          <w:szCs w:val="20"/>
          <w:lang w:val="en-GB"/>
        </w:rPr>
        <w:lastRenderedPageBreak/>
        <w:t xml:space="preserve">The indicators are grouped in several categories. </w:t>
      </w:r>
    </w:p>
    <w:p w14:paraId="3DB917A8" w14:textId="77777777" w:rsidR="00CA7A69" w:rsidRPr="00CA7A69" w:rsidRDefault="00CA7A69" w:rsidP="00801043">
      <w:pPr>
        <w:spacing w:after="0" w:line="276" w:lineRule="auto"/>
        <w:jc w:val="both"/>
        <w:rPr>
          <w:rFonts w:ascii="Times New Roman" w:eastAsia="Calibri" w:hAnsi="Times New Roman" w:cs="Times New Roman"/>
          <w:sz w:val="24"/>
          <w:szCs w:val="20"/>
          <w:lang w:val="en-GB"/>
        </w:rPr>
      </w:pPr>
      <w:r w:rsidRPr="00CA7A69">
        <w:rPr>
          <w:rFonts w:ascii="Times New Roman" w:eastAsia="Calibri" w:hAnsi="Times New Roman" w:cs="Times New Roman"/>
          <w:sz w:val="24"/>
          <w:szCs w:val="20"/>
          <w:lang w:val="en-GB"/>
        </w:rPr>
        <w:t xml:space="preserve">Category 1 summarizes the KPIs related to the grid interaction analysis. In this context, the KPI no.1.1 and 1.2, except for energy and storage losses, respectively reports on the degree of energy coverage with solar energy generated on site, while </w:t>
      </w:r>
      <w:r w:rsidRPr="00CA7A69">
        <w:rPr>
          <w:rFonts w:ascii="Times New Roman" w:eastAsia="Calibri" w:hAnsi="Times New Roman" w:cs="Times New Roman"/>
          <w:sz w:val="28"/>
          <w:lang w:val="en-US"/>
        </w:rPr>
        <w:t>γ</w:t>
      </w:r>
      <w:r w:rsidRPr="00CA7A69">
        <w:rPr>
          <w:rFonts w:ascii="Times New Roman" w:eastAsia="Calibri" w:hAnsi="Times New Roman" w:cs="Times New Roman"/>
          <w:sz w:val="24"/>
          <w:szCs w:val="20"/>
          <w:vertAlign w:val="subscript"/>
          <w:lang w:val="en-GB"/>
        </w:rPr>
        <w:t>s</w:t>
      </w:r>
      <w:r w:rsidRPr="00CA7A69">
        <w:rPr>
          <w:rFonts w:ascii="Times New Roman" w:eastAsia="Calibri" w:hAnsi="Times New Roman" w:cs="Times New Roman"/>
          <w:sz w:val="24"/>
          <w:szCs w:val="20"/>
          <w:lang w:val="en-GB"/>
        </w:rPr>
        <w:t xml:space="preserve"> on the amount of local energy production self-consumed simultaneously by a prosumer building.</w:t>
      </w:r>
    </w:p>
    <w:p w14:paraId="00CD56EF" w14:textId="4A8379DB" w:rsidR="00CA7A69" w:rsidRPr="00CA7A69" w:rsidRDefault="00CA7A69" w:rsidP="00801043">
      <w:pPr>
        <w:spacing w:after="0" w:line="276" w:lineRule="auto"/>
        <w:jc w:val="both"/>
        <w:rPr>
          <w:rFonts w:ascii="Times New Roman" w:eastAsia="Calibri" w:hAnsi="Times New Roman" w:cs="Times New Roman"/>
          <w:sz w:val="24"/>
          <w:szCs w:val="20"/>
          <w:lang w:val="en-US"/>
        </w:rPr>
      </w:pPr>
      <w:r w:rsidRPr="00CA7A69">
        <w:rPr>
          <w:rFonts w:ascii="Times New Roman" w:eastAsia="Calibri" w:hAnsi="Times New Roman" w:cs="Times New Roman"/>
          <w:sz w:val="24"/>
          <w:szCs w:val="20"/>
          <w:lang w:val="en-GB"/>
        </w:rPr>
        <w:t>KPI no.1.3 quantifies the export of energy to the grid, no.1.4 the contemporaneity between self-generation and load in the building, no.1.5 the fluctuation of energy exchanges with the grid and KPI no.1.6 the loss of load probability, i.e. the probability understood as the expec</w:t>
      </w:r>
      <w:r w:rsidRPr="00CA7A69">
        <w:rPr>
          <w:rFonts w:ascii="Times New Roman" w:eastAsia="Calibri" w:hAnsi="Times New Roman" w:cs="Times New Roman"/>
          <w:sz w:val="24"/>
          <w:szCs w:val="20"/>
          <w:lang w:val="en-US"/>
        </w:rPr>
        <w:t>ted number of hours, in the long run, for which the load is expected to be greater than the capacity of the generating resources.</w:t>
      </w:r>
    </w:p>
    <w:p w14:paraId="608CCC90" w14:textId="77777777" w:rsidR="00CA7A69" w:rsidRPr="00CA7A69" w:rsidRDefault="00CA7A69" w:rsidP="00801043">
      <w:pPr>
        <w:spacing w:after="0" w:line="276" w:lineRule="auto"/>
        <w:jc w:val="both"/>
        <w:rPr>
          <w:rFonts w:ascii="Times New Roman" w:eastAsia="Calibri" w:hAnsi="Times New Roman" w:cs="Times New Roman"/>
          <w:sz w:val="24"/>
          <w:szCs w:val="20"/>
          <w:lang w:val="en-GB"/>
        </w:rPr>
      </w:pPr>
      <w:r w:rsidRPr="00CA7A69">
        <w:rPr>
          <w:rFonts w:ascii="Times New Roman" w:eastAsia="Calibri" w:hAnsi="Times New Roman" w:cs="Times New Roman"/>
          <w:sz w:val="24"/>
          <w:szCs w:val="20"/>
          <w:lang w:val="en-US"/>
        </w:rPr>
        <w:t xml:space="preserve">If the flexibility objective is to maximize the self-consumption of energy from local RES or if the flexible behavior is aimed at providing services to the electricity grid, these KPIs allow an exhaustive interpretation and re-elaboration of the analysis results by providing concise information to stakeholders. </w:t>
      </w:r>
    </w:p>
    <w:p w14:paraId="1490A3EE" w14:textId="6C3384BD" w:rsidR="00CA7A69" w:rsidRPr="00CA7A69" w:rsidRDefault="00CA7A69" w:rsidP="00801043">
      <w:pPr>
        <w:spacing w:after="0" w:line="276" w:lineRule="auto"/>
        <w:jc w:val="both"/>
        <w:rPr>
          <w:rFonts w:ascii="Times New Roman" w:eastAsia="Calibri" w:hAnsi="Times New Roman" w:cs="Times New Roman"/>
          <w:sz w:val="24"/>
          <w:szCs w:val="20"/>
          <w:lang w:val="en-US"/>
        </w:rPr>
      </w:pPr>
      <w:r w:rsidRPr="00CA7A69">
        <w:rPr>
          <w:rFonts w:ascii="Times New Roman" w:eastAsia="Calibri" w:hAnsi="Times New Roman" w:cs="Times New Roman"/>
          <w:sz w:val="24"/>
          <w:szCs w:val="20"/>
          <w:lang w:val="en-US"/>
        </w:rPr>
        <w:t xml:space="preserve">Category 2 is the sub-class of </w:t>
      </w:r>
      <w:r w:rsidRPr="00CA7A69">
        <w:rPr>
          <w:rFonts w:ascii="Times New Roman" w:eastAsia="Calibri" w:hAnsi="Times New Roman" w:cs="Times New Roman"/>
          <w:i/>
          <w:iCs/>
          <w:sz w:val="24"/>
          <w:szCs w:val="20"/>
          <w:lang w:val="en-US"/>
        </w:rPr>
        <w:t>Flexibility Factors (FF)</w:t>
      </w:r>
      <w:r w:rsidRPr="00CA7A69">
        <w:rPr>
          <w:rFonts w:ascii="Times New Roman" w:eastAsia="Calibri" w:hAnsi="Times New Roman" w:cs="Times New Roman"/>
          <w:sz w:val="24"/>
          <w:szCs w:val="20"/>
          <w:lang w:val="en-US"/>
        </w:rPr>
        <w:t xml:space="preserve">. The FFs no.2.1 and 2.2 formulate the more general concept of flexibility in quantitative terms with specific links to an objective function, which in most cases is operational costs and emissions. These KPIs investigate the distribution of the energy demand of the building in periods of high and low penalty (for example periods of high and low cost). </w:t>
      </w:r>
      <w:r w:rsidRPr="00CA7A69">
        <w:rPr>
          <w:rFonts w:ascii="Times New Roman" w:eastAsia="Calibri" w:hAnsi="Times New Roman" w:cs="Times New Roman"/>
          <w:i/>
          <w:iCs/>
          <w:sz w:val="24"/>
          <w:szCs w:val="24"/>
          <w:lang w:val="en-US"/>
        </w:rPr>
        <w:t>FFs</w:t>
      </w:r>
      <w:r w:rsidRPr="00CA7A69">
        <w:rPr>
          <w:rFonts w:ascii="Times New Roman" w:eastAsia="Calibri" w:hAnsi="Times New Roman" w:cs="Times New Roman"/>
          <w:sz w:val="24"/>
          <w:szCs w:val="24"/>
          <w:lang w:val="en-US"/>
        </w:rPr>
        <w:t xml:space="preserve"> is variable in the range of [-1,+1]. A value of +1 would imply that all energy consumption occurs in the lp periods, while a value of -1 that the energy demand occurs in the hp periods. Therefore, higher factor values are representative of greater energy flexibility. Recently Péan et al. </w:t>
      </w:r>
      <w:r w:rsidRPr="00CA7A69">
        <w:rPr>
          <w:rFonts w:ascii="Times New Roman" w:eastAsia="Calibri" w:hAnsi="Times New Roman" w:cs="Times New Roman"/>
          <w:sz w:val="24"/>
          <w:szCs w:val="24"/>
          <w:lang w:val="en-US"/>
        </w:rPr>
        <w:fldChar w:fldCharType="begin" w:fldLock="1"/>
      </w:r>
      <w:r w:rsidR="001D3C8C">
        <w:rPr>
          <w:rFonts w:ascii="Times New Roman" w:eastAsia="Calibri" w:hAnsi="Times New Roman" w:cs="Times New Roman"/>
          <w:sz w:val="24"/>
          <w:szCs w:val="24"/>
          <w:lang w:val="en-US"/>
        </w:rPr>
        <w:instrText>ADDIN CSL_CITATION {"citationItems":[{"id":"ITEM-1","itemData":{"author":[{"dropping-particle":"","family":"Péan","given":"Thibault","non-dropping-particle":"","parse-names":false,"suffix":""},{"dropping-particle":"","family":"Salom","given":"Jaume","non-dropping-particle":"","parse-names":false,"suffix":""},{"dropping-particle":"","family":"Ortiz","given":"Joana","non-dropping-particle":"","parse-names":false,"suffix":""}],"container-title":"Building Simulation and Optimization BSO 2018, 11-12th September 2018, Cambridge (UK)","id":"ITEM-1","issue":"September","issued":{"date-parts":[["2018"]]},"page":"277-283","title":"Environmental and Economic Impact of Demand Response Strategies for Energy Flexible Buildings","type":"article-journal"},"uris":["http://www.mendeley.com/documents/?uuid=803f2c78-fb5c-437e-b5b7-8dc9515261b8","http://www.mendeley.com/documents/?uuid=7fc39c31-609a-4b02-a66c-5dac10847965","http://www.mendeley.com/documents/?uuid=608038a7-b486-4603-b0e3-71e3ae691b87"]}],"mendeley":{"formattedCitation":"(Péan, Salom, et al., 2018)","plainTextFormattedCitation":"(Péan, Salom, et al., 2018)","previouslyFormattedCitation":"(Péan, Salom, et al. 2018)"},"properties":{"noteIndex":0},"schema":"https://github.com/citation-style-language/schema/raw/master/csl-citation.json"}</w:instrText>
      </w:r>
      <w:r w:rsidRPr="00CA7A69">
        <w:rPr>
          <w:rFonts w:ascii="Times New Roman" w:eastAsia="Calibri" w:hAnsi="Times New Roman" w:cs="Times New Roman"/>
          <w:sz w:val="24"/>
          <w:szCs w:val="24"/>
          <w:lang w:val="en-US"/>
        </w:rPr>
        <w:fldChar w:fldCharType="separate"/>
      </w:r>
      <w:r w:rsidR="001D3C8C" w:rsidRPr="001D3C8C">
        <w:rPr>
          <w:rFonts w:ascii="Times New Roman" w:eastAsia="Calibri" w:hAnsi="Times New Roman" w:cs="Times New Roman"/>
          <w:noProof/>
          <w:sz w:val="24"/>
          <w:szCs w:val="24"/>
          <w:lang w:val="en-US"/>
        </w:rPr>
        <w:t>(Péan, Salom, et al., 2018)</w:t>
      </w:r>
      <w:r w:rsidRPr="00CA7A69">
        <w:rPr>
          <w:rFonts w:ascii="Times New Roman" w:eastAsia="Calibri" w:hAnsi="Times New Roman" w:cs="Times New Roman"/>
          <w:sz w:val="24"/>
          <w:szCs w:val="24"/>
          <w:lang w:val="en-US"/>
        </w:rPr>
        <w:fldChar w:fldCharType="end"/>
      </w:r>
      <w:r w:rsidRPr="00CA7A69">
        <w:rPr>
          <w:rFonts w:ascii="Times New Roman" w:eastAsia="Calibri" w:hAnsi="Times New Roman" w:cs="Times New Roman"/>
          <w:sz w:val="24"/>
          <w:szCs w:val="24"/>
          <w:lang w:val="en-US"/>
        </w:rPr>
        <w:t xml:space="preserve">, adapt the </w:t>
      </w:r>
      <w:r w:rsidRPr="00CA7A69">
        <w:rPr>
          <w:rFonts w:ascii="Times New Roman" w:eastAsia="Calibri" w:hAnsi="Times New Roman" w:cs="Times New Roman"/>
          <w:i/>
          <w:iCs/>
          <w:sz w:val="24"/>
          <w:szCs w:val="24"/>
          <w:lang w:val="en-US"/>
        </w:rPr>
        <w:t>FF (Costs)</w:t>
      </w:r>
      <w:r w:rsidRPr="00CA7A69">
        <w:rPr>
          <w:rFonts w:ascii="Times New Roman" w:eastAsia="Calibri" w:hAnsi="Times New Roman" w:cs="Times New Roman"/>
          <w:sz w:val="24"/>
          <w:szCs w:val="24"/>
          <w:lang w:val="en-US"/>
        </w:rPr>
        <w:t xml:space="preserve">, </w:t>
      </w:r>
      <w:r w:rsidRPr="00CA7A69">
        <w:rPr>
          <w:rFonts w:ascii="Times New Roman" w:eastAsia="Calibri" w:hAnsi="Times New Roman" w:cs="Times New Roman"/>
          <w:sz w:val="24"/>
          <w:szCs w:val="20"/>
        </w:rPr>
        <w:fldChar w:fldCharType="begin" w:fldLock="1"/>
      </w:r>
      <w:r w:rsidR="001D3C8C">
        <w:rPr>
          <w:rFonts w:ascii="Times New Roman" w:eastAsia="Calibri" w:hAnsi="Times New Roman" w:cs="Times New Roman"/>
          <w:sz w:val="24"/>
          <w:szCs w:val="20"/>
          <w:lang w:val="en-US"/>
        </w:rPr>
        <w:instrText>ADDIN CSL_CITATION {"citationItems":[{"id":"ITEM-1","itemData":{"DOI":"10.1016/j.energy.2016.05.076","ISSN":"03605442","abstract":"The objective of this study is to assess the potential of buildings to modulate the heating power and define simple control strategies to exploit the flexibility potential considering both energy and thermal comfort. Two residential buildings with different levels of insulation and air-tightness have been modelled. This wide range of thermal properties covers the global performance of the residential building stock, and does not only focus on state-of-the-art buildings. Two strategies of modulation have been investigated: heat storage (i.e. increase of set-point) and heat conservation (i.e. decrease of set-point). Additionally, the effect of the time of activation and the type of emitter (radiator or underfloor heating) has been evaluated.A better understanding of the dynamic behaviour of buildings has been achieved in this paper. Contrary to other storage solutions (e.g. battery, hot water tank), the modulation potential of the thermal mass depends on several factors (level of insulation, type of emitter, etc) and varies over time (cold vs. transition season). The autonomy of a poorly-insulated building is relatively short, whereas passive houses have a long time constant. This characteristic implies differences in the control strategy to make use of the flexibility potential without violating comfort.","author":[{"dropping-particle":"","family":"Dréau","given":"J.","non-dropping-particle":"Le","parse-names":false,"suffix":""},{"dropping-particle":"","family":"Heiselberg","given":"P.","non-dropping-particle":"","parse-names":false,"suffix":""}],"container-title":"Energy","id":"ITEM-1","issued":{"date-parts":[["2016"]]},"page":"991-1002","title":"Energy flexibility of residential buildings using short term heat storage in the thermal mass","type":"article-journal","volume":"111"},"uris":["http://www.mendeley.com/documents/?uuid=1a43d0db-7d0d-4cb0-a0e2-5f411712833e","http://www.mendeley.com/documents/?uuid=11b0afac-d60c-4e9a-bb9b-2d2c89a4cad8","http://www.mendeley.com/documents/?uuid=f8e5a8e8-3eb5-43a6-8402-df5c2555737a"]}],"mendeley":{"formattedCitation":"(Le Dréau &amp; Heiselberg, 2016)","plainTextFormattedCitation":"(Le Dréau &amp; Heiselberg, 2016)","previouslyFormattedCitation":"(Le Dréau and Heiselberg 2016)"},"properties":{"noteIndex":0},"schema":"https://github.com/citation-style-language/schema/raw/master/csl-citation.json"}</w:instrText>
      </w:r>
      <w:r w:rsidRPr="00CA7A69">
        <w:rPr>
          <w:rFonts w:ascii="Times New Roman" w:eastAsia="Calibri" w:hAnsi="Times New Roman" w:cs="Times New Roman"/>
          <w:sz w:val="24"/>
          <w:szCs w:val="20"/>
        </w:rPr>
        <w:fldChar w:fldCharType="separate"/>
      </w:r>
      <w:r w:rsidR="001D3C8C" w:rsidRPr="001D3C8C">
        <w:rPr>
          <w:rFonts w:ascii="Times New Roman" w:eastAsia="Calibri" w:hAnsi="Times New Roman" w:cs="Times New Roman"/>
          <w:noProof/>
          <w:sz w:val="24"/>
          <w:szCs w:val="20"/>
          <w:lang w:val="en-US"/>
        </w:rPr>
        <w:t>(Le Dréau &amp; Heiselberg, 2016)</w:t>
      </w:r>
      <w:r w:rsidRPr="00CA7A69">
        <w:rPr>
          <w:rFonts w:ascii="Times New Roman" w:eastAsia="Calibri" w:hAnsi="Times New Roman" w:cs="Times New Roman"/>
          <w:sz w:val="24"/>
          <w:szCs w:val="20"/>
        </w:rPr>
        <w:fldChar w:fldCharType="end"/>
      </w:r>
      <w:r w:rsidRPr="00CA7A69">
        <w:rPr>
          <w:rFonts w:ascii="Times New Roman" w:eastAsia="Calibri" w:hAnsi="Times New Roman" w:cs="Times New Roman"/>
          <w:sz w:val="24"/>
          <w:szCs w:val="20"/>
          <w:lang w:val="en-GB"/>
        </w:rPr>
        <w:t xml:space="preserve">, </w:t>
      </w:r>
      <w:r w:rsidRPr="00CA7A69">
        <w:rPr>
          <w:rFonts w:ascii="Times New Roman" w:eastAsia="Calibri" w:hAnsi="Times New Roman" w:cs="Times New Roman"/>
          <w:sz w:val="24"/>
          <w:szCs w:val="24"/>
          <w:lang w:val="en-US"/>
        </w:rPr>
        <w:t xml:space="preserve">to this objective, keeping its mathematical expression. Many authors use these </w:t>
      </w:r>
      <w:r w:rsidRPr="00CA7A69">
        <w:rPr>
          <w:rFonts w:ascii="Times New Roman" w:eastAsia="Calibri" w:hAnsi="Times New Roman" w:cs="Times New Roman"/>
          <w:i/>
          <w:iCs/>
          <w:sz w:val="24"/>
          <w:szCs w:val="24"/>
          <w:lang w:val="en-US"/>
        </w:rPr>
        <w:t>FFs</w:t>
      </w:r>
      <w:r w:rsidRPr="00CA7A69">
        <w:rPr>
          <w:rFonts w:ascii="Times New Roman" w:eastAsia="Calibri" w:hAnsi="Times New Roman" w:cs="Times New Roman"/>
          <w:sz w:val="24"/>
          <w:szCs w:val="24"/>
          <w:lang w:val="en-US"/>
        </w:rPr>
        <w:t xml:space="preserve"> to quantify the shift of the load towards lp periods </w:t>
      </w:r>
      <w:r w:rsidRPr="00CA7A69">
        <w:rPr>
          <w:rFonts w:ascii="Times New Roman" w:eastAsia="Calibri" w:hAnsi="Times New Roman" w:cs="Times New Roman"/>
          <w:sz w:val="24"/>
          <w:szCs w:val="24"/>
          <w:lang w:val="en-US"/>
        </w:rPr>
        <w:fldChar w:fldCharType="begin" w:fldLock="1"/>
      </w:r>
      <w:r w:rsidR="001D3C8C">
        <w:rPr>
          <w:rFonts w:ascii="Times New Roman" w:eastAsia="Calibri" w:hAnsi="Times New Roman" w:cs="Times New Roman"/>
          <w:sz w:val="24"/>
          <w:szCs w:val="24"/>
          <w:lang w:val="en-US"/>
        </w:rPr>
        <w:instrText>ADDIN CSL_CITATION {"citationItems":[{"id":"ITEM-1","itemData":{"DOI":"10.1051/e3sconf/202019702002","ISSN":"22671242","abstract":" Since the building sector is responsible for 40% of the world’s electricity demand, it is essential to act on it in order to reduce emissions of climate change gases on a global scale, as expressed also in the latest directive on the energy performance of buildings. A design approach that focuses on the energy flexibility of buildings can contribute to the improvement of its energy-environmental performances. In this context, the objective of the study is the analysis of the energy performance of a residential building in Sicily and the definition of strategies aimed at increasing its energy flexibility. In particular, the case study is a 631 m 2 single-family house, modeled and simulated in TRNSYS environment. The approach involves the development of scenarios to reduce operating costs and CO 2 emissions during the use phase of the building. Rule Based Control algorithms are implemented. The flexible control reacts to a price or emission signal, by modulating the heating set-point accordingly. The results highlighted significant increases in energy flexibility. The economic algorithm achieves savings of 21.46%, accompanied by a 15% reduction in emissions. The environmental algorithm allows to reduce CO2 emissions by about 30%. The economic impact is positive, with a 17.58% reduction in costs. ","author":[{"dropping-particle":"","family":"Marotta","given":"Ilaria","non-dropping-particle":"","parse-names":false,"suffix":""},{"dropping-particle":"","family":"Guarino","given":"Francesco","non-dropping-particle":"","parse-names":false,"suffix":""},{"dropping-particle":"","family":"Cellura","given":"Maurizio","non-dropping-particle":"","parse-names":false,"suffix":""},{"dropping-particle":"","family":"Longo","given":"Sonia","non-dropping-particle":"","parse-names":false,"suffix":""}],"container-title":"E3S Web of Conferences","id":"ITEM-1","issued":{"date-parts":[["2020"]]},"page":"02002","title":"Energy flexibility in Mediterranean buildings: a case-study in Sicily","type":"article-journal","volume":"197"},"uris":["http://www.mendeley.com/documents/?uuid=81c0673e-057e-4699-849e-315e3e0084f9","http://www.mendeley.com/documents/?uuid=21afe88e-ab4e-4b58-a0d6-36757ce364da","http://www.mendeley.com/documents/?uuid=9bb47a33-ac55-4396-8d08-39a15a7abee0"]},{"id":"ITEM-2","itemData":{"DOI":"10.1016/J.SCS.2019.101579","abstract":"Model predictive controllers (MPC) have shown great potential for activating the energy flexibility of thermal loads, especially in buildings equipped with heat pump systems. In this work, an MPC controller is developed and tested within a co-simulation framework which couples an optimization software with a dynamic building simulation tool. The development phase is described in detail, in particular the methods to obtain simplified models to be used by the controller. The building envelope and the heat pump performance (based on experimental data) were thus modelled, both in heating and cooling seasons. Three different objective functions of the MPC are tested on a study case consisting of a Spanish residential building: promising results are obtained when the controller aims at minimizing operational costs (savings of 13–29%) or CO2 marginal emissions (savings of 19–29%). The development efforts, the required tuning and sensitivity of the MPC algorithm parameters, the adaptations needed between the cooling and heating operations are also discussed and put into perspective with the obtained benefits in terms of savings, comfort and load-shifting.","author":[{"dropping-particle":"","family":"Péan","given":"Thibault","non-dropping-particle":"","parse-names":false,"suffix":""},{"dropping-particle":"","family":"Costa-Castelló","given":"Ramon","non-dropping-particle":"","parse-names":false,"suffix":""},{"dropping-particle":"","family":"Salom","given":"Jaume","non-dropping-particle":"","parse-names":false,"suffix":""}],"container-title":"Sustainable Cities and Society","id":"ITEM-2","issued":{"date-parts":[["2019","10"]]},"page":"101579","publisher":"Elsevier","title":"Price and carbon-based energy flexibility of residential heating and cooling loads using model predictive control","type":"article-journal","volume":"50"},"uris":["http://www.mendeley.com/documents/?uuid=0973882a-56f3-4ffd-b583-642f5e208e84","http://www.mendeley.com/documents/?uuid=d75df4eb-3153-40bc-8ff0-fa68a9694ce2","http://www.mendeley.com/documents/?uuid=b9a24e79-ef06-32d3-82a0-2bfcf6984513"]},{"id":"ITEM-3","itemData":{"DOI":"10.1016/j.energy.2016.05.076","ISSN":"03605442","abstract":"The objective of this study is to assess the potential of buildings to modulate the heating power and define simple control strategies to exploit the flexibility potential considering both energy and thermal comfort. Two residential buildings with different levels of insulation and air-tightness have been modelled. This wide range of thermal properties covers the global performance of the residential building stock, and does not only focus on state-of-the-art buildings. Two strategies of modulation have been investigated: heat storage (i.e. increase of set-point) and heat conservation (i.e. decrease of set-point). Additionally, the effect of the time of activation and the type of emitter (radiator or underfloor heating) has been evaluated.A better understanding of the dynamic behaviour of buildings has been achieved in this paper. Contrary to other storage solutions (e.g. battery, hot water tank), the modulation potential of the thermal mass depends on several factors (level of insulation, type of emitter, etc) and varies over time (cold vs. transition season). The autonomy of a poorly-insulated building is relatively short, whereas passive houses have a long time constant. This characteristic implies differences in the control strategy to make use of the flexibility potential without violating comfort.","author":[{"dropping-particle":"","family":"Dréau","given":"J.","non-dropping-particle":"Le","parse-names":false,"suffix":""},{"dropping-particle":"","family":"Heiselberg","given":"P.","non-dropping-particle":"","parse-names":false,"suffix":""}],"container-title":"Energy","id":"ITEM-3","issued":{"date-parts":[["2016"]]},"page":"991-1002","title":"Energy flexibility of residential buildings using short term heat storage in the thermal mass","type":"article-journal","volume":"111"},"uris":["http://www.mendeley.com/documents/?uuid=1a43d0db-7d0d-4cb0-a0e2-5f411712833e","http://www.mendeley.com/documents/?uuid=f8e5a8e8-3eb5-43a6-8402-df5c2555737a","http://www.mendeley.com/documents/?uuid=11b0afac-d60c-4e9a-bb9b-2d2c89a4cad8","http://www.mendeley.com/documents/?uuid=2847918d-51ff-45c4-bb81-a7b33825e204","http://www.mendeley.com/documents/?uuid=82056ee0-17c8-44bf-a5cd-5d5b3dded325"]},{"id":"ITEM-4","itemData":{"author":[{"dropping-particle":"","family":"Péan","given":"Thibault","non-dropping-particle":"","parse</w:instrText>
      </w:r>
      <w:r w:rsidR="001D3C8C" w:rsidRPr="001D3C8C">
        <w:rPr>
          <w:rFonts w:ascii="Times New Roman" w:eastAsia="Calibri" w:hAnsi="Times New Roman" w:cs="Times New Roman"/>
          <w:sz w:val="24"/>
          <w:szCs w:val="24"/>
          <w:lang w:val="sv-SE"/>
        </w:rPr>
        <w:instrText>-names":false,"suffix":""},{"dropping-particle":"","family":"Salom","given":"Jaume","non-dropping-particle":"","parse-names":false,"suffix":""},{"dropping-particle":"","family":"Ortiz","given":"Joana","non-dropping-particle":"","parse-names":false,"suffix":""}],"container-title":"Building Simulation and Optimization BSO 2018, 11-12th September 2018, Cambridge (UK)","id":"ITEM-4","issue":"September","issued":{"date-parts":[["2018"]]},"page":"277-283","title":"Environmental and Economic Impact of Demand Response Strategies for Energy Flexible Buildings","type":"article-journal"},"uris":["http://www.mendeley.com/documents/?uuid=608038a7-b486-4603-b0e3-71e3ae691b87","http://www.mendeley.com/documents/?uuid=803f2c78-fb5c-437e-b5b7-8dc9515261b8","http://www.mendeley.com/documents/?uuid=7fc39c31-609a-4b02-a66c-5dac10847965","http://www.mendeley.com/documents/?uuid=4d28be5e-b6d8-40e1-b004-3af99b5e7ab2","http://www.mendeley.com/documents/?uuid=3f0d785b-75de-415c-90d0-c0a1ddbec55a"]}],"mendeley":{"formattedCitation":"(Le Dréau &amp; Heiselberg, 2016; Marotta et al., 2020; Péan et al., 2019; Péan, Salom, et al., 2018)","plainTextFormattedCitation":"(Le Dréau &amp; Heiselberg, 2016; Marotta et al., 2020; Péan et al., 2019; Péan, Salom, et al., 2018)","previouslyFormattedCitation":"(Le Dréau and Heiselberg 2016; Marotta et al. 2020; Péan et al. 2019; Péan, Salom, et al. 2018)"},"properties":{"noteIndex":0},"schema":"https://github.com/citation-style-language/schema/raw/master/csl-citation.json"}</w:instrText>
      </w:r>
      <w:r w:rsidRPr="00CA7A69">
        <w:rPr>
          <w:rFonts w:ascii="Times New Roman" w:eastAsia="Calibri" w:hAnsi="Times New Roman" w:cs="Times New Roman"/>
          <w:sz w:val="24"/>
          <w:szCs w:val="24"/>
          <w:lang w:val="en-US"/>
        </w:rPr>
        <w:fldChar w:fldCharType="separate"/>
      </w:r>
      <w:r w:rsidR="001D3C8C" w:rsidRPr="001D3C8C">
        <w:rPr>
          <w:rFonts w:ascii="Times New Roman" w:eastAsia="Calibri" w:hAnsi="Times New Roman" w:cs="Times New Roman"/>
          <w:noProof/>
          <w:sz w:val="24"/>
          <w:szCs w:val="24"/>
        </w:rPr>
        <w:t>(Le Dréau &amp; Heiselberg, 2016; Marotta et al., 2020; Péan et al., 2019; Péan, Salom, et al., 2018)</w:t>
      </w:r>
      <w:r w:rsidRPr="00CA7A69">
        <w:rPr>
          <w:rFonts w:ascii="Times New Roman" w:eastAsia="Calibri" w:hAnsi="Times New Roman" w:cs="Times New Roman"/>
          <w:sz w:val="24"/>
          <w:szCs w:val="24"/>
          <w:lang w:val="en-US"/>
        </w:rPr>
        <w:fldChar w:fldCharType="end"/>
      </w:r>
      <w:r w:rsidRPr="00CA7A69">
        <w:rPr>
          <w:rFonts w:ascii="Times New Roman" w:eastAsia="Calibri" w:hAnsi="Times New Roman" w:cs="Times New Roman"/>
          <w:sz w:val="24"/>
          <w:szCs w:val="24"/>
        </w:rPr>
        <w:t xml:space="preserve">. </w:t>
      </w:r>
      <w:r w:rsidRPr="00CA7A69">
        <w:rPr>
          <w:rFonts w:ascii="Times New Roman" w:eastAsia="Calibri" w:hAnsi="Times New Roman" w:cs="Times New Roman"/>
          <w:sz w:val="24"/>
          <w:szCs w:val="20"/>
          <w:lang w:val="en-GB"/>
        </w:rPr>
        <w:t xml:space="preserve">However, as discussed in </w:t>
      </w:r>
      <w:r w:rsidRPr="00CA7A69">
        <w:rPr>
          <w:rFonts w:ascii="Times New Roman" w:eastAsia="Calibri" w:hAnsi="Times New Roman" w:cs="Times New Roman"/>
          <w:sz w:val="24"/>
          <w:szCs w:val="24"/>
          <w:lang w:val="en-US"/>
        </w:rPr>
        <w:fldChar w:fldCharType="begin" w:fldLock="1"/>
      </w:r>
      <w:r w:rsidR="001D3C8C">
        <w:rPr>
          <w:rFonts w:ascii="Times New Roman" w:eastAsia="Calibri" w:hAnsi="Times New Roman" w:cs="Times New Roman"/>
          <w:sz w:val="24"/>
          <w:szCs w:val="24"/>
          <w:lang w:val="en-US"/>
        </w:rPr>
        <w:instrText>ADDIN CSL_CITATION {"citationItems":[{"id":"ITEM-1","itemData":{"author":[{"dropping-particle":"","family":"Vigna","given":"Ilaria","non-dropping-particle":"","parse-names":false,"suffix":""},{"dropping-particle":"","family":"Pernetti","given":"Roberta","non-dropping-particle":"","parse-names":false,"suffix":""},{"dropping-particle":"","family":"Pasut","given":"Wilmer","non-dropping-particle":"","parse-names":false,"suffix":""},{"dropping-particle":"","family":"Lollini","given":"Roberto","non-dropping-particle":"","parse-names":false,"suffix":""}],"id":"ITEM-1","issued":{"date-parts":[["2018"]]},"title":"Literature review on energy flexibility definitions and indicators for building clusters","type":"article-journal"},"uris":["http://www.mendeley.com/documents/?uuid=99c28a23-fecb-4985-9a89-953dcc0b270e","http://www.mendeley.com/documents/?uuid=78a9b821-ca28-467a-93ec-a96735a79557","http://www.mendeley.com/documents/?uuid=97158975-7f21-4f1c-975a-b08cb689360f"]}],"mendeley":{"formattedCitation":"(Vigna et al., 2018)","plainTextFormattedCitation":"(Vigna et al., 2018)","previouslyFormattedCitation":"(Vigna et al. 2018a)"},"properties":{"noteIndex":0},"schema":"https://github.com/citation-style-language/schema/raw/master/csl-citation.json"}</w:instrText>
      </w:r>
      <w:r w:rsidRPr="00CA7A69">
        <w:rPr>
          <w:rFonts w:ascii="Times New Roman" w:eastAsia="Calibri" w:hAnsi="Times New Roman" w:cs="Times New Roman"/>
          <w:sz w:val="24"/>
          <w:szCs w:val="24"/>
          <w:lang w:val="en-US"/>
        </w:rPr>
        <w:fldChar w:fldCharType="separate"/>
      </w:r>
      <w:r w:rsidR="001D3C8C" w:rsidRPr="001D3C8C">
        <w:rPr>
          <w:rFonts w:ascii="Times New Roman" w:eastAsia="Calibri" w:hAnsi="Times New Roman" w:cs="Times New Roman"/>
          <w:noProof/>
          <w:sz w:val="24"/>
          <w:szCs w:val="24"/>
          <w:lang w:val="en-US"/>
        </w:rPr>
        <w:t>(Vigna et al., 2018)</w:t>
      </w:r>
      <w:r w:rsidRPr="00CA7A69">
        <w:rPr>
          <w:rFonts w:ascii="Times New Roman" w:eastAsia="Calibri" w:hAnsi="Times New Roman" w:cs="Times New Roman"/>
          <w:sz w:val="24"/>
          <w:szCs w:val="24"/>
          <w:lang w:val="en-US"/>
        </w:rPr>
        <w:fldChar w:fldCharType="end"/>
      </w:r>
      <w:r w:rsidRPr="00CA7A69">
        <w:rPr>
          <w:rFonts w:ascii="Times New Roman" w:eastAsia="Calibri" w:hAnsi="Times New Roman" w:cs="Times New Roman"/>
          <w:sz w:val="24"/>
          <w:szCs w:val="20"/>
          <w:lang w:val="en-GB"/>
        </w:rPr>
        <w:t xml:space="preserve"> it explains how the load is distributed compared to the peaks but it doesn't give any information on how much load can be shifted</w:t>
      </w:r>
    </w:p>
    <w:p w14:paraId="0BEDAAD2" w14:textId="6D4B707B" w:rsidR="00CA7A69" w:rsidRPr="00CA7A69" w:rsidRDefault="00CA7A69" w:rsidP="00801043">
      <w:pPr>
        <w:spacing w:after="0" w:line="276" w:lineRule="auto"/>
        <w:jc w:val="both"/>
        <w:rPr>
          <w:rFonts w:ascii="Times New Roman" w:eastAsia="Calibri" w:hAnsi="Times New Roman" w:cs="Times New Roman"/>
          <w:sz w:val="24"/>
          <w:szCs w:val="20"/>
          <w:lang w:val="en-US"/>
        </w:rPr>
      </w:pPr>
      <w:bookmarkStart w:id="3" w:name="_Hlk169528383"/>
      <w:r w:rsidRPr="00CA7A69">
        <w:rPr>
          <w:rFonts w:ascii="Times New Roman" w:eastAsia="Calibri" w:hAnsi="Times New Roman" w:cs="Times New Roman"/>
          <w:sz w:val="24"/>
          <w:szCs w:val="20"/>
          <w:lang w:val="en-US"/>
        </w:rPr>
        <w:t xml:space="preserve">Category no.3, 4 and 5 includes sets of KPIs that refer to the application of ADR events of the SH system (Tab.3). Recently, Péan et al. </w:t>
      </w:r>
      <w:r w:rsidRPr="00CA7A69">
        <w:rPr>
          <w:rFonts w:ascii="Times New Roman" w:eastAsia="Calibri" w:hAnsi="Times New Roman" w:cs="Times New Roman"/>
          <w:sz w:val="24"/>
          <w:szCs w:val="20"/>
        </w:rPr>
        <w:fldChar w:fldCharType="begin" w:fldLock="1"/>
      </w:r>
      <w:r w:rsidR="001D3C8C">
        <w:rPr>
          <w:rFonts w:ascii="Times New Roman" w:eastAsia="Calibri" w:hAnsi="Times New Roman" w:cs="Times New Roman"/>
          <w:sz w:val="24"/>
          <w:szCs w:val="20"/>
          <w:lang w:val="en-US"/>
        </w:rPr>
        <w:instrText>ADDIN CSL_CITATION {"citationItems":[{"id":"ITEM-1","itemData":{"ISBN":"9782921145886","abstract":"The representation of simulation results with regards to building energy flexibility is investigated. The chosen case study is a residential flat located in Spain, equipped with an air-to-water heat pump. From a reference simulation scenario, active demand response (ADR) events are implemented; they consist in modulating the heating set-point for a few hours. If the starting time of the ADR event is varied in time, the resulting simulations enable to produce daily profiles quantifying the different aspects of energy flexibility. Different representations of these profiles are proposed and discussed, combining the flexibility capacity and efficiency profiles, or representing different ADR configurations in a single graph. A high dependency of the flexibility profiles was observed with regards to the existing consumption profile and temperature setbacks. An ADR event of 2 hours with set-point modulation of ±1°C provides a maximum flexibility capacity of 9.4kWh upwards and -8.6kWh downwards","author":[{"dropping-particle":"","family":"Péan","given":"Thibault","non-dropping-particle":"","parse-names":false,"suffix":""},{"dropping-particle":"","family":"Torres","given":"Bismark","non-dropping-particle":"","parse-names":false,"suffix":""},{"dropping-particle":"","family":"Salom","given":"Jaume","non-dropping-particle":"","parse-names":false,"suffix":""},{"dropping-particle":"","family":"Ortiz","given":"Joana","non-dropping-particle":"","parse-names":false,"suffix":""}],"container-title":"eSim 2018, the 10th Conference of IBPSA-Canada","id":"ITEM-1","issue":"May","issued":{"date-parts":[["2018"]]},"page":"153-162","title":"Representation of daily profiles of building energy flexibility","type":"article-journal"},"uris":["http://www.mendeley.com/documents/?uuid=930c1060-23bc-41fb-8ffd-40e9faa65c9e","http://www.mendeley.com/documents/?uuid=70a1fb97-7f55-45c9-8a7e-9195b4a131c3","http://www.mendeley.com/documents/?uuid=875a7afb-ac6a-4603-bf6d-cfcfb63a3c4d","http://www.mendeley.com/documents/?uuid=5c87ca16-8735-4ca5-8276-dd46141a567c"]}],"mendeley":{"formattedCitation":"(Péan, Torres, et al., 2018)","plainTextFormattedCitation":"(Péan, Torres, et al., 2018)","previouslyFormattedCitation":"(Péan, Torres, et al. 2018)"},"properties":{"noteIndex":0},"schema":"https://github.com/citation-style-language/schema/raw/master/csl-citation.json"}</w:instrText>
      </w:r>
      <w:r w:rsidRPr="00CA7A69">
        <w:rPr>
          <w:rFonts w:ascii="Times New Roman" w:eastAsia="Calibri" w:hAnsi="Times New Roman" w:cs="Times New Roman"/>
          <w:sz w:val="24"/>
          <w:szCs w:val="20"/>
        </w:rPr>
        <w:fldChar w:fldCharType="separate"/>
      </w:r>
      <w:r w:rsidR="001D3C8C" w:rsidRPr="001D3C8C">
        <w:rPr>
          <w:rFonts w:ascii="Times New Roman" w:eastAsia="Calibri" w:hAnsi="Times New Roman" w:cs="Times New Roman"/>
          <w:noProof/>
          <w:sz w:val="24"/>
          <w:szCs w:val="20"/>
          <w:lang w:val="en-US"/>
        </w:rPr>
        <w:t>(Péan, Torres, et al., 2018)</w:t>
      </w:r>
      <w:r w:rsidRPr="00CA7A69">
        <w:rPr>
          <w:rFonts w:ascii="Times New Roman" w:eastAsia="Calibri" w:hAnsi="Times New Roman" w:cs="Times New Roman"/>
          <w:sz w:val="24"/>
          <w:szCs w:val="20"/>
        </w:rPr>
        <w:fldChar w:fldCharType="end"/>
      </w:r>
      <w:r w:rsidRPr="00CA7A69">
        <w:rPr>
          <w:rFonts w:ascii="Times New Roman" w:eastAsia="Calibri" w:hAnsi="Times New Roman" w:cs="Times New Roman"/>
          <w:sz w:val="24"/>
          <w:szCs w:val="20"/>
          <w:lang w:val="en-US"/>
        </w:rPr>
        <w:t xml:space="preserve"> proposed a reinterpretation of the formulation of </w:t>
      </w:r>
      <m:oMath>
        <m:sSub>
          <m:sSubPr>
            <m:ctrlPr>
              <w:rPr>
                <w:rFonts w:ascii="Cambria Math" w:eastAsia="Calibri" w:hAnsi="Cambria Math" w:cs="Times New Roman"/>
                <w:sz w:val="24"/>
                <w:szCs w:val="20"/>
              </w:rPr>
            </m:ctrlPr>
          </m:sSubPr>
          <m:e>
            <m:r>
              <w:rPr>
                <w:rFonts w:ascii="Cambria Math" w:eastAsia="Calibri" w:hAnsi="Cambria Math" w:cs="Cambria Math"/>
                <w:sz w:val="24"/>
                <w:szCs w:val="20"/>
              </w:rPr>
              <m:t>η</m:t>
            </m:r>
          </m:e>
          <m:sub>
            <m:r>
              <w:rPr>
                <w:rFonts w:ascii="Cambria Math" w:eastAsia="Calibri" w:hAnsi="Cambria Math" w:cs="Times New Roman"/>
                <w:sz w:val="24"/>
                <w:szCs w:val="20"/>
              </w:rPr>
              <m:t>ADR</m:t>
            </m:r>
          </m:sub>
        </m:sSub>
      </m:oMath>
      <w:r w:rsidRPr="00CA7A69">
        <w:rPr>
          <w:rFonts w:ascii="Times New Roman" w:eastAsia="Times New Roman" w:hAnsi="Times New Roman" w:cs="Times New Roman"/>
          <w:sz w:val="24"/>
          <w:szCs w:val="20"/>
          <w:lang w:val="en-GB"/>
        </w:rPr>
        <w:t xml:space="preserve"> (KPI n.3.2).</w:t>
      </w:r>
      <w:bookmarkStart w:id="4" w:name="_Hlk62635729"/>
      <w:r w:rsidRPr="00CA7A69">
        <w:rPr>
          <w:rFonts w:ascii="Times New Roman" w:eastAsia="Calibri" w:hAnsi="Times New Roman" w:cs="Times New Roman"/>
          <w:sz w:val="24"/>
          <w:szCs w:val="20"/>
          <w:lang w:val="en-US"/>
        </w:rPr>
        <w:t xml:space="preserve"> </w:t>
      </w:r>
      <w:bookmarkEnd w:id="4"/>
      <w:r w:rsidRPr="00CA7A69">
        <w:rPr>
          <w:rFonts w:ascii="Times New Roman" w:eastAsia="Calibri" w:hAnsi="Times New Roman" w:cs="Times New Roman"/>
          <w:sz w:val="24"/>
          <w:szCs w:val="20"/>
          <w:lang w:val="en-US"/>
        </w:rPr>
        <w:t xml:space="preserve">Compared to the reference case, the KPI is calculated for the upward modulations of the SH set-point as the energy savings that occurs after the ADR event divided by the surplus energy supplied during the ADR event. For downward adjustments the KPI is interpreted as the expected increase in energy consumption that occurs at the end of the ADR event, as a rebound effect, divided by the energy savings that occurs during the ADR event. The results show ability of these KPIs (no.3) to highlight wasted energy: in some scenarios </w:t>
      </w:r>
      <m:oMath>
        <m:sSub>
          <m:sSubPr>
            <m:ctrlPr>
              <w:rPr>
                <w:rFonts w:ascii="Cambria Math" w:eastAsia="Calibri" w:hAnsi="Cambria Math" w:cs="Times New Roman"/>
                <w:sz w:val="24"/>
                <w:szCs w:val="20"/>
              </w:rPr>
            </m:ctrlPr>
          </m:sSubPr>
          <m:e>
            <m:r>
              <w:rPr>
                <w:rFonts w:ascii="Cambria Math" w:eastAsia="Calibri" w:hAnsi="Cambria Math" w:cs="Cambria Math"/>
                <w:sz w:val="24"/>
                <w:szCs w:val="20"/>
              </w:rPr>
              <m:t>η</m:t>
            </m:r>
          </m:e>
          <m:sub>
            <m:r>
              <w:rPr>
                <w:rFonts w:ascii="Cambria Math" w:eastAsia="Calibri" w:hAnsi="Cambria Math" w:cs="Times New Roman"/>
                <w:sz w:val="24"/>
                <w:szCs w:val="20"/>
              </w:rPr>
              <m:t>ADR</m:t>
            </m:r>
          </m:sub>
        </m:sSub>
      </m:oMath>
      <w:r w:rsidRPr="00CA7A69">
        <w:rPr>
          <w:rFonts w:ascii="Times New Roman" w:eastAsia="Calibri" w:hAnsi="Times New Roman" w:cs="Times New Roman"/>
          <w:sz w:val="24"/>
          <w:szCs w:val="20"/>
          <w:lang w:val="en-US"/>
        </w:rPr>
        <w:t xml:space="preserve"> exceeds 100%, representing a very limited rebound effect, since in the reference case the energy consumption is disproportionate. In these regards, Foteinaki et al. in </w:t>
      </w:r>
      <w:r w:rsidRPr="00CA7A69">
        <w:rPr>
          <w:rFonts w:ascii="Times New Roman" w:eastAsia="Calibri" w:hAnsi="Times New Roman" w:cs="Times New Roman"/>
          <w:sz w:val="24"/>
          <w:szCs w:val="20"/>
        </w:rPr>
        <w:fldChar w:fldCharType="begin" w:fldLock="1"/>
      </w:r>
      <w:r w:rsidR="001D3C8C">
        <w:rPr>
          <w:rFonts w:ascii="Times New Roman" w:eastAsia="Calibri" w:hAnsi="Times New Roman" w:cs="Times New Roman"/>
          <w:sz w:val="24"/>
          <w:szCs w:val="20"/>
          <w:lang w:val="en-US"/>
        </w:rPr>
        <w:instrText>ADDIN CSL_CITATION {"citationItems":[{"id":"ITEM-1","itemData":{"DOI":"10.1016/j.enbuild.2018.09.030","ISSN":"03787788","abstract":"Energy flexibility is proposed as a cost-effective solution facilitating secure operation of the energy system while integrating large share of renewables. With strict building regulations in Denmark, newly built buildings are low-energy buildings. In order to identify the role of low-energy buildings in the energy system, we investigated the physical potential for flexibility and analysed the thermal storage capacity existing inherently in the structural mass. Two building types were studied: single-family house and apartment block. The aim is to quantify the energy that can be added to or curtailed from each building during a time period without compromising thermal comfort. Different scenarios (starting time and duration), building design characteristics and boundary conditions were studied. The findings showed that low-energy buildings are highly robust and can remain autonomous for several hours. Although for individual buildings the available energy for curtailment is limited, if many buildings are aggregated energy flexibility becomes significant. The potential for storage in the thermal mass is considerable. The analysis presented high dependence of flexibility potential on boundary conditions (ambient temperature, solar radiation, internal gains) and underlined the importance of envelope insulation. Heat losses govern the potential for flexibility, while the walls’ thermal mass has a secondary influence.","author":[{"dropping-particle":"","family":"Foteinaki","given":"Kyriaki","non-dropping-particle":"","parse-names":false,"suffix":""},{"dropping-particle":"","family":"Li","given":"Rongling","non-dropping-particle":"","parse-names":false,"suffix":""},{"dropping-particle":"","family":"Heller","given":"Alfred","non-dropping-particle":"","parse-names":false,"suffix":""},{"dropping-particle":"","family":"Rode","given":"Carsten","non-dropping-particle":"","parse-names":false,"suffix":""}],"container-title":"Energy and Buildings","id":"ITEM-1","issued":{"date-parts":[["2018"]]},"page":"95-108","publisher":"Elsevier B.V.","title":"Heating system energy flexibility of low-energy residential buildings","type":"article-journal","volume":"180"},"uris":["http://www.mendeley.com/documents/?uuid=f3fac13f-87be-443a-ab84-126567759852"]}],"mendeley":{"formattedCitation":"(Foteinaki et al., 2018)","plainTextFormattedCitation":"(Foteinaki et al., 2018)","previouslyFormattedCitation":"(Foteinaki et al. 2018)"},"properties":{"noteIndex":0},"schema":"https://github.com/citation-style-language/schema/raw/master/csl-citation.json"}</w:instrText>
      </w:r>
      <w:r w:rsidRPr="00CA7A69">
        <w:rPr>
          <w:rFonts w:ascii="Times New Roman" w:eastAsia="Calibri" w:hAnsi="Times New Roman" w:cs="Times New Roman"/>
          <w:sz w:val="24"/>
          <w:szCs w:val="20"/>
        </w:rPr>
        <w:fldChar w:fldCharType="separate"/>
      </w:r>
      <w:r w:rsidR="001D3C8C" w:rsidRPr="001D3C8C">
        <w:rPr>
          <w:rFonts w:ascii="Times New Roman" w:eastAsia="Calibri" w:hAnsi="Times New Roman" w:cs="Times New Roman"/>
          <w:noProof/>
          <w:sz w:val="24"/>
          <w:szCs w:val="20"/>
          <w:lang w:val="en-US"/>
        </w:rPr>
        <w:t>(Foteinaki et al., 2018)</w:t>
      </w:r>
      <w:r w:rsidRPr="00CA7A69">
        <w:rPr>
          <w:rFonts w:ascii="Times New Roman" w:eastAsia="Calibri" w:hAnsi="Times New Roman" w:cs="Times New Roman"/>
          <w:sz w:val="24"/>
          <w:szCs w:val="20"/>
        </w:rPr>
        <w:fldChar w:fldCharType="end"/>
      </w:r>
      <w:r w:rsidRPr="00CA7A69">
        <w:rPr>
          <w:rFonts w:ascii="Times New Roman" w:eastAsia="Calibri" w:hAnsi="Times New Roman" w:cs="Times New Roman"/>
          <w:sz w:val="24"/>
          <w:szCs w:val="20"/>
          <w:lang w:val="en-US"/>
        </w:rPr>
        <w:t xml:space="preserve">, studying the potential of these flexibility events, define new indicators, KPIs no.4. Among the indicators, the </w:t>
      </w:r>
      <w:r w:rsidRPr="00CA7A69">
        <w:rPr>
          <w:rFonts w:ascii="Times New Roman" w:eastAsia="Calibri" w:hAnsi="Times New Roman" w:cs="Times New Roman"/>
          <w:i/>
          <w:iCs/>
          <w:sz w:val="24"/>
          <w:szCs w:val="20"/>
          <w:lang w:val="en-US"/>
        </w:rPr>
        <w:t>Added energy (Q</w:t>
      </w:r>
      <w:r w:rsidRPr="00CA7A69">
        <w:rPr>
          <w:rFonts w:ascii="Times New Roman" w:eastAsia="Calibri" w:hAnsi="Times New Roman" w:cs="Times New Roman"/>
          <w:i/>
          <w:iCs/>
          <w:sz w:val="24"/>
          <w:szCs w:val="20"/>
          <w:vertAlign w:val="subscript"/>
          <w:lang w:val="en-US"/>
        </w:rPr>
        <w:t>added</w:t>
      </w:r>
      <w:r w:rsidRPr="00CA7A69">
        <w:rPr>
          <w:rFonts w:ascii="Times New Roman" w:eastAsia="Calibri" w:hAnsi="Times New Roman" w:cs="Times New Roman"/>
          <w:i/>
          <w:iCs/>
          <w:sz w:val="24"/>
          <w:szCs w:val="20"/>
          <w:lang w:val="en-US"/>
        </w:rPr>
        <w:t>)</w:t>
      </w:r>
      <w:r w:rsidRPr="00CA7A69">
        <w:rPr>
          <w:rFonts w:ascii="Times New Roman" w:eastAsia="Calibri" w:hAnsi="Times New Roman" w:cs="Times New Roman"/>
          <w:sz w:val="24"/>
          <w:szCs w:val="20"/>
          <w:lang w:val="en-US"/>
        </w:rPr>
        <w:t xml:space="preserve"> (no.4.1) is defined. It represents the surplus of thermal energy supplied, with respect to the reference, during the ADR upwards event. While the </w:t>
      </w:r>
      <w:r w:rsidRPr="00CA7A69">
        <w:rPr>
          <w:rFonts w:ascii="Times New Roman" w:eastAsia="Calibri" w:hAnsi="Times New Roman" w:cs="Times New Roman"/>
          <w:i/>
          <w:iCs/>
          <w:sz w:val="24"/>
          <w:szCs w:val="20"/>
          <w:lang w:val="en-US"/>
        </w:rPr>
        <w:t>Curtailed energy (Q</w:t>
      </w:r>
      <w:r w:rsidRPr="00CA7A69">
        <w:rPr>
          <w:rFonts w:ascii="Times New Roman" w:eastAsia="Calibri" w:hAnsi="Times New Roman" w:cs="Times New Roman"/>
          <w:i/>
          <w:iCs/>
          <w:sz w:val="24"/>
          <w:szCs w:val="20"/>
          <w:vertAlign w:val="subscript"/>
          <w:lang w:val="en-US"/>
        </w:rPr>
        <w:t>curtailed</w:t>
      </w:r>
      <w:r w:rsidRPr="00CA7A69">
        <w:rPr>
          <w:rFonts w:ascii="Times New Roman" w:eastAsia="Calibri" w:hAnsi="Times New Roman" w:cs="Times New Roman"/>
          <w:i/>
          <w:iCs/>
          <w:sz w:val="24"/>
          <w:szCs w:val="20"/>
          <w:lang w:val="en-US"/>
        </w:rPr>
        <w:t xml:space="preserve">) </w:t>
      </w:r>
      <w:r w:rsidRPr="00CA7A69">
        <w:rPr>
          <w:rFonts w:ascii="Times New Roman" w:eastAsia="Calibri" w:hAnsi="Times New Roman" w:cs="Times New Roman"/>
          <w:sz w:val="24"/>
          <w:szCs w:val="20"/>
          <w:lang w:val="en-US"/>
        </w:rPr>
        <w:t xml:space="preserve">(KPI n.4.3), is used to evaluate the reduction of energy needs during the ADR downwards event. KPIs no.3 and 4 overall, explicitly defined for ADR applications of the SH system, provide detailed information on the physics of the problem and to characterize the thermal response of the building. These KPIs do not allow per se a direct assessment of the effectiveness of the flexibility solutions used. Furthermore, as it refers to the need for thermal energy, they are not of direct use for grid operators and end users. Recently, Bampoulas et al. defined the KPIs no.4.1.1, 4.1.2 and 4.1.3 to quantify the effects of ADR actions in </w:t>
      </w:r>
      <w:r w:rsidRPr="00CA7A69">
        <w:rPr>
          <w:rFonts w:ascii="Times New Roman" w:eastAsia="Calibri" w:hAnsi="Times New Roman" w:cs="Times New Roman"/>
          <w:sz w:val="24"/>
          <w:szCs w:val="20"/>
          <w:lang w:val="en-US"/>
        </w:rPr>
        <w:lastRenderedPageBreak/>
        <w:t xml:space="preserve">prosumer buildings. Based on the definition of KPI no.1.1, the authors define the </w:t>
      </w:r>
      <w:r w:rsidRPr="00CA7A69">
        <w:rPr>
          <w:rFonts w:ascii="Times New Roman" w:eastAsia="Calibri" w:hAnsi="Times New Roman" w:cs="Times New Roman"/>
          <w:i/>
          <w:iCs/>
          <w:sz w:val="24"/>
          <w:szCs w:val="20"/>
          <w:lang w:val="en-US"/>
        </w:rPr>
        <w:t>Self-consumption during the DR action</w:t>
      </w:r>
      <w:r w:rsidRPr="00CA7A69">
        <w:rPr>
          <w:rFonts w:ascii="Times New Roman" w:eastAsia="Calibri" w:hAnsi="Times New Roman" w:cs="Times New Roman"/>
          <w:sz w:val="24"/>
          <w:szCs w:val="20"/>
          <w:lang w:val="en-US"/>
        </w:rPr>
        <w:t>, the no.4.1.1. This KPI represents the percentage increase in energy demand satisfied by self-produced energy, during a DR action. Furthermore, starting from KPIs no.3.1 and 3.2 the authors extend the concept also to the heat storage by means of storage devices and electric vehicles, obtaining indicators no.4.1.2 and 4.1.3. These KPIs are also useful if ADR heating system events are implemented.</w:t>
      </w:r>
    </w:p>
    <w:bookmarkEnd w:id="3"/>
    <w:p w14:paraId="37BEE719" w14:textId="3B33F62E" w:rsidR="00CA7A69" w:rsidRPr="00CA7A69" w:rsidRDefault="00CA7A69" w:rsidP="00801043">
      <w:pPr>
        <w:spacing w:after="0" w:line="276" w:lineRule="auto"/>
        <w:jc w:val="both"/>
        <w:rPr>
          <w:rFonts w:ascii="Times New Roman" w:eastAsia="Calibri" w:hAnsi="Times New Roman" w:cs="Times New Roman"/>
          <w:sz w:val="24"/>
          <w:szCs w:val="20"/>
          <w:lang w:val="en-US"/>
        </w:rPr>
      </w:pPr>
      <w:r w:rsidRPr="00CA7A69">
        <w:rPr>
          <w:rFonts w:ascii="Times New Roman" w:eastAsia="Calibri" w:hAnsi="Times New Roman" w:cs="Times New Roman"/>
          <w:sz w:val="24"/>
          <w:szCs w:val="20"/>
          <w:highlight w:val="yellow"/>
          <w:lang w:val="en-US"/>
        </w:rPr>
        <w:t xml:space="preserve">Among the applications of energy flexibility there is the flexible management of a thermal energy storage tank. In this context, the KPIs no.6 are defined to analyze the temporal aspects of flexibility. As discussed in </w:t>
      </w:r>
      <w:r w:rsidRPr="00CA7A69">
        <w:rPr>
          <w:rFonts w:ascii="Times New Roman" w:eastAsia="Calibri" w:hAnsi="Times New Roman" w:cs="Times New Roman"/>
          <w:sz w:val="24"/>
          <w:szCs w:val="20"/>
          <w:highlight w:val="yellow"/>
          <w:lang w:val="en-US"/>
        </w:rPr>
        <w:fldChar w:fldCharType="begin" w:fldLock="1"/>
      </w:r>
      <w:r w:rsidR="001D3C8C">
        <w:rPr>
          <w:rFonts w:ascii="Times New Roman" w:eastAsia="Calibri" w:hAnsi="Times New Roman" w:cs="Times New Roman"/>
          <w:sz w:val="24"/>
          <w:szCs w:val="20"/>
          <w:highlight w:val="yellow"/>
          <w:lang w:val="en-US"/>
        </w:rPr>
        <w:instrText>ADDIN CSL_CITATION {"citationItems":[{"id":"ITEM-1","itemData":{"DOI":"10.1016/j.apenergy.2016.08.055","ISSN":"03062619","abstract":"The increasing share of fluctuating renewable energy generation in the energy system increases the need for flexibility options. Building energy systems (BES) with their corresponding thermal energy storages (TES) can be one option for supplying flexibility. To use this option efficiently, a framework to quantify the flexibility of the BES is necessary. It is found that the flexibility of a BES can hardly be described with one single flexibility indicator. Therefore, this paper develops a method to analyze the flexibility of BES in terms of time, power and energy. Different influencing factors are considered, like the heat generator and the thermal storage size. Additionally, the option to aggregate the different flexibility measures on a city district level is addressed. This is necessary as single buildings have a minor impact on higher level energy systems. Finally, a comparison to other flexibility options like battery storage is discussed.","author":[{"dropping-particle":"","family":"Stinner","given":"Sebastian","non-dropping-particle":"","parse-names":false,"suffix":""},{"dropping-particle":"","family":"Huchtemann","given":"Kristian","non-dropping-particle":"","parse-names":false,"suffix":""},{"dropping-particle":"","family":"Müller","given":"Dirk","non-dropping-particle":"","parse-names":false,"suffix":""}],"container-title":"Applied Energy","id":"ITEM-1","issued":{"date-parts":[["2016"]]},"page":"140-154","publisher":"Elsevier Ltd","title":"Quantifying the operational flexibility of building energy systems with thermal energy storages","type":"article-journal","volume":"181"},"uris":["http://www.mendeley.com/documents/?uuid=0d142864-6036-4570-b4dd-d5f30817c592","http://www.mendeley.com/documents/?uuid=728658de-2316-4bf3-a10c-3b75811c1333","http://www.mendeley.com/documents/?uuid=3331c166-2ff9-49e6-9f39-8b05cbfc0566"]}],"mendeley":{"formattedCitation":"(Stinner et al., 2016)","plainTextFormattedCitation":"(Stinner et al., 2016)","previouslyFormattedCitation":"(Stinner et al. 2016)"},"properties":{"noteIndex":0},"schema":"https://github.com/citation-style-language/schema/raw/master/csl-citation.json"}</w:instrText>
      </w:r>
      <w:r w:rsidRPr="00CA7A69">
        <w:rPr>
          <w:rFonts w:ascii="Times New Roman" w:eastAsia="Calibri" w:hAnsi="Times New Roman" w:cs="Times New Roman"/>
          <w:sz w:val="24"/>
          <w:szCs w:val="20"/>
          <w:highlight w:val="yellow"/>
          <w:lang w:val="en-US"/>
        </w:rPr>
        <w:fldChar w:fldCharType="separate"/>
      </w:r>
      <w:r w:rsidR="001D3C8C" w:rsidRPr="001D3C8C">
        <w:rPr>
          <w:rFonts w:ascii="Times New Roman" w:eastAsia="Calibri" w:hAnsi="Times New Roman" w:cs="Times New Roman"/>
          <w:noProof/>
          <w:sz w:val="24"/>
          <w:szCs w:val="20"/>
          <w:highlight w:val="yellow"/>
          <w:lang w:val="en-US"/>
        </w:rPr>
        <w:t>(Stinner et al., 2016)</w:t>
      </w:r>
      <w:r w:rsidRPr="00CA7A69">
        <w:rPr>
          <w:rFonts w:ascii="Times New Roman" w:eastAsia="Calibri" w:hAnsi="Times New Roman" w:cs="Times New Roman"/>
          <w:sz w:val="24"/>
          <w:szCs w:val="20"/>
          <w:highlight w:val="yellow"/>
          <w:lang w:val="en-US"/>
        </w:rPr>
        <w:fldChar w:fldCharType="end"/>
      </w:r>
      <w:r w:rsidRPr="00CA7A69">
        <w:rPr>
          <w:rFonts w:ascii="Times New Roman" w:eastAsia="Calibri" w:hAnsi="Times New Roman" w:cs="Times New Roman"/>
          <w:sz w:val="24"/>
          <w:szCs w:val="20"/>
          <w:highlight w:val="yellow"/>
          <w:lang w:val="en-US"/>
        </w:rPr>
        <w:t xml:space="preserve">, </w:t>
      </w:r>
      <m:oMath>
        <m:sSub>
          <m:sSubPr>
            <m:ctrlPr>
              <w:rPr>
                <w:rFonts w:ascii="Cambria Math" w:eastAsia="Calibri" w:hAnsi="Cambria Math" w:cs="Times New Roman"/>
                <w:i/>
                <w:sz w:val="24"/>
                <w:szCs w:val="20"/>
                <w:highlight w:val="yellow"/>
              </w:rPr>
            </m:ctrlPr>
          </m:sSubPr>
          <m:e>
            <m:r>
              <w:rPr>
                <w:rFonts w:ascii="Cambria Math" w:eastAsia="Calibri" w:hAnsi="Cambria Math" w:cs="Times New Roman"/>
                <w:sz w:val="24"/>
                <w:szCs w:val="20"/>
                <w:highlight w:val="yellow"/>
              </w:rPr>
              <m:t>ε</m:t>
            </m:r>
          </m:e>
          <m:sub>
            <m:r>
              <w:rPr>
                <w:rFonts w:ascii="Cambria Math" w:eastAsia="Calibri" w:hAnsi="Cambria Math" w:cs="Times New Roman"/>
                <w:sz w:val="24"/>
                <w:szCs w:val="20"/>
                <w:highlight w:val="yellow"/>
              </w:rPr>
              <m:t>forced</m:t>
            </m:r>
          </m:sub>
        </m:sSub>
      </m:oMath>
      <w:r w:rsidRPr="00CA7A69">
        <w:rPr>
          <w:rFonts w:ascii="Times New Roman" w:eastAsia="Calibri" w:hAnsi="Times New Roman" w:cs="Times New Roman"/>
          <w:sz w:val="24"/>
          <w:szCs w:val="20"/>
          <w:highlight w:val="yellow"/>
          <w:lang w:val="en-US"/>
        </w:rPr>
        <w:t xml:space="preserve"> (no.6.1) is representative of the period of time in which it is possible to keep the heat generator on (forced operation event), in order to accumulate the excess energy produced. Instead  </w:t>
      </w:r>
      <m:oMath>
        <m:sSub>
          <m:sSubPr>
            <m:ctrlPr>
              <w:rPr>
                <w:rFonts w:ascii="Cambria Math" w:eastAsia="Calibri" w:hAnsi="Cambria Math" w:cs="Times New Roman"/>
                <w:i/>
                <w:sz w:val="24"/>
                <w:szCs w:val="20"/>
                <w:highlight w:val="yellow"/>
              </w:rPr>
            </m:ctrlPr>
          </m:sSubPr>
          <m:e>
            <m:r>
              <w:rPr>
                <w:rFonts w:ascii="Cambria Math" w:eastAsia="Calibri" w:hAnsi="Cambria Math" w:cs="Times New Roman"/>
                <w:sz w:val="24"/>
                <w:szCs w:val="20"/>
                <w:highlight w:val="yellow"/>
              </w:rPr>
              <m:t>ε</m:t>
            </m:r>
          </m:e>
          <m:sub>
            <m:r>
              <w:rPr>
                <w:rFonts w:ascii="Cambria Math" w:eastAsia="Calibri" w:hAnsi="Cambria Math" w:cs="Times New Roman"/>
                <w:sz w:val="24"/>
                <w:szCs w:val="20"/>
                <w:highlight w:val="yellow"/>
              </w:rPr>
              <m:t>delayed</m:t>
            </m:r>
          </m:sub>
        </m:sSub>
      </m:oMath>
      <w:r w:rsidRPr="00CA7A69">
        <w:rPr>
          <w:rFonts w:ascii="Times New Roman" w:eastAsia="Calibri" w:hAnsi="Times New Roman" w:cs="Times New Roman"/>
          <w:sz w:val="24"/>
          <w:szCs w:val="20"/>
          <w:highlight w:val="yellow"/>
          <w:lang w:val="en-US"/>
        </w:rPr>
        <w:t xml:space="preserve"> (no.6.2) is linked to the number of hours for which the thermal energy demand can be satisfied thanks to the energy discharged from the tank (delayed operation event).</w:t>
      </w:r>
      <w:r w:rsidRPr="00CA7A69">
        <w:rPr>
          <w:rFonts w:ascii="Times New Roman" w:eastAsia="Calibri" w:hAnsi="Times New Roman" w:cs="Times New Roman"/>
          <w:sz w:val="24"/>
          <w:szCs w:val="20"/>
          <w:lang w:val="en-US"/>
        </w:rPr>
        <w:t xml:space="preserve"> These KPIs do not provide information on the operational costs or emissions of the building, nor exhaustively on the effects on the interaction with the grid, focusing on the temporal aspects.</w:t>
      </w:r>
    </w:p>
    <w:p w14:paraId="31B47563" w14:textId="6F2A6198" w:rsidR="00CA7A69" w:rsidRPr="00CA7A69" w:rsidRDefault="00CA7A69" w:rsidP="00801043">
      <w:pPr>
        <w:spacing w:after="0" w:line="276" w:lineRule="auto"/>
        <w:jc w:val="both"/>
        <w:rPr>
          <w:rFonts w:ascii="Times New Roman" w:eastAsia="Calibri" w:hAnsi="Times New Roman" w:cs="Times New Roman"/>
          <w:sz w:val="20"/>
          <w:szCs w:val="24"/>
          <w:lang w:val="en-GB"/>
        </w:rPr>
      </w:pPr>
      <w:r w:rsidRPr="00CA7A69">
        <w:rPr>
          <w:rFonts w:ascii="Times New Roman" w:eastAsia="Calibri" w:hAnsi="Times New Roman" w:cs="Times New Roman"/>
          <w:sz w:val="24"/>
          <w:szCs w:val="20"/>
          <w:lang w:val="en-GB"/>
        </w:rPr>
        <w:t xml:space="preserve">Recently, Fitzpatrick et al. define metrics no.7 to quantify the effects of applying Demand Response algorithms to improve the energy flexibility of buildings </w:t>
      </w:r>
      <w:r w:rsidRPr="00CA7A69">
        <w:rPr>
          <w:rFonts w:ascii="Times New Roman" w:eastAsia="Calibri" w:hAnsi="Times New Roman" w:cs="Times New Roman"/>
          <w:sz w:val="24"/>
          <w:szCs w:val="20"/>
          <w:lang w:val="en-GB"/>
        </w:rPr>
        <w:fldChar w:fldCharType="begin" w:fldLock="1"/>
      </w:r>
      <w:r w:rsidR="001D3C8C">
        <w:rPr>
          <w:rFonts w:ascii="Times New Roman" w:eastAsia="Calibri" w:hAnsi="Times New Roman" w:cs="Times New Roman"/>
          <w:sz w:val="24"/>
          <w:szCs w:val="20"/>
          <w:lang w:val="en-GB"/>
        </w:rPr>
        <w:instrText>ADDIN CSL_CITATION {"citationItems":[{"id":"ITEM-1","itemData":{"DOI":"10.1016/j.enbuild.2020.110142","ISSN":"03787788","abstract":"The aim of the present paper is to investigate the influence of electricity tariffs on energy flexibility in buildings and associated energy costs. A residential building located in Stuttgart, Germany, equipped with a hybrid heat pump which is coupled with a thermal energy storage unit and a gas boiler is used as a case study. A model predictive control algorithm is used to minimise the daily operational cost over a full heating season. Several demand response programs based on controlling the heat pump power consumption were tested and analysed by adopting different metrics capable of describing the flexibility potential and cost of demand response programs. Several tariff structures, including: real-time pricing, two-level day-night tariffs and critical-peak pricing with both fixed and variable feed-in price components, were investigated. The results show that the building can provide up to 1370 kWhe of energy flexibility over the heating season with an average specific (marginal) costs of between €0.024–0.035 per kWhe of flexibility provided. The demand response programs lead to higher utilisation of thermal energy storage along with increased boiler consumption, by up to 17.1% and 12.1%, respectively in case of maximum demand response intensity. This in turn leads to a higher overall primary energy consumption of between 1.6% and 9.1% depending on demand response intensity. Typically, real-time pricing is the most favourable tariff structure, capable of offering the greatest energy flexibility with lowest associated electricity costs.","author":[{"dropping-particle":"","family":"Fitzpatrick","given":"Peter","non-dropping-particle":"","parse-names":false,"suffix":""},{"dropping-particle":"","family":"D'Ettorre","given":"Francesco","non-dropping-particle":"","parse-names":false,"suffix":""},{"dropping-particle":"","family":"Rosa","given":"Mattia","non-dropping-particle":"De","parse-names":false,"suffix":""},{"dropping-particle":"","family":"Yadack","given":"Malcolm","non-dropping-particle":"","parse-names":false,"suffix":""},{"dropping-particle":"","family":"Eicker","given":"Ursula","non-dropping-particle":"","parse-names":false,"suffix":""},{"dropping-particle":"","family":"Finn","given":"Donal P.","non-dropping-particle":"","parse-names":false,"suffix":""}],"container-title":"Energy and Buildings","id":"ITEM-1","issued":{"date-parts":[["2020"]]},"page":"110142","publisher":"The Authors","title":"Influence of electricity prices on energy flexibility of integrated hybrid heat pump and thermal storage systems in a residential building","type":"article-journal","volume":"223"},"uris":["http://www.mendeley.com/documents/?uuid=a609102f-1571-470c-8070-cd41ea7871a0","http://www.mendeley.com/documents/?uuid=d5ab0326-ff8f-445e-8352-0a5786935851","http://www.mendeley.com/documents/?uuid=364c9e76-d9b9-45be-8b51-2a81adda8d25"]}],"mendeley":{"formattedCitation":"(Fitzpatrick et al., 2020)","plainTextFormattedCitation":"(Fitzpatrick et al., 2020)","previouslyFormattedCitation":"(Fitzpatrick et al. 2020)"},"properties":{"noteIndex":0},"schema":"https://github.com/citation-style-language/schema/raw/master/csl-citation.json"}</w:instrText>
      </w:r>
      <w:r w:rsidRPr="00CA7A69">
        <w:rPr>
          <w:rFonts w:ascii="Times New Roman" w:eastAsia="Calibri" w:hAnsi="Times New Roman" w:cs="Times New Roman"/>
          <w:sz w:val="24"/>
          <w:szCs w:val="20"/>
          <w:lang w:val="en-GB"/>
        </w:rPr>
        <w:fldChar w:fldCharType="separate"/>
      </w:r>
      <w:r w:rsidR="001D3C8C" w:rsidRPr="001D3C8C">
        <w:rPr>
          <w:rFonts w:ascii="Times New Roman" w:eastAsia="Calibri" w:hAnsi="Times New Roman" w:cs="Times New Roman"/>
          <w:noProof/>
          <w:sz w:val="24"/>
          <w:szCs w:val="20"/>
          <w:lang w:val="en-GB"/>
        </w:rPr>
        <w:t>(Fitzpatrick et al., 2020)</w:t>
      </w:r>
      <w:r w:rsidRPr="00CA7A69">
        <w:rPr>
          <w:rFonts w:ascii="Times New Roman" w:eastAsia="Calibri" w:hAnsi="Times New Roman" w:cs="Times New Roman"/>
          <w:sz w:val="24"/>
          <w:szCs w:val="20"/>
          <w:lang w:val="en-GB"/>
        </w:rPr>
        <w:fldChar w:fldCharType="end"/>
      </w:r>
      <w:r w:rsidRPr="00CA7A69">
        <w:rPr>
          <w:rFonts w:ascii="Times New Roman" w:eastAsia="Calibri" w:hAnsi="Times New Roman" w:cs="Times New Roman"/>
          <w:sz w:val="24"/>
          <w:szCs w:val="20"/>
          <w:lang w:val="en-GB"/>
        </w:rPr>
        <w:t>. These indicators are related to the energy and economic aspects deriving from the implementation of the flexibility strategy. The authors suggest, to avoid ambiguity in the results of the metrics, the use of these KPIs when optimal control strategies, are used.</w:t>
      </w:r>
    </w:p>
    <w:p w14:paraId="2DC15159" w14:textId="170DD088" w:rsidR="0063587D" w:rsidRDefault="00CA7A69" w:rsidP="00801043">
      <w:pPr>
        <w:spacing w:after="0" w:line="276" w:lineRule="auto"/>
        <w:jc w:val="both"/>
        <w:rPr>
          <w:noProof/>
        </w:rPr>
      </w:pPr>
      <w:r w:rsidRPr="00CA7A69">
        <w:rPr>
          <w:rFonts w:ascii="Times New Roman" w:eastAsia="Calibri" w:hAnsi="Times New Roman" w:cs="Times New Roman"/>
          <w:sz w:val="24"/>
          <w:szCs w:val="20"/>
          <w:lang w:val="en-GB"/>
        </w:rPr>
        <w:t xml:space="preserve">Overall, the literature review indicates that, in most cases, authors developing design approaches focused on energy flexibility, need to define appropriate methods of quantification or re-elaborate existing KPIs. </w:t>
      </w:r>
      <w:r w:rsidRPr="00CA7A69">
        <w:rPr>
          <w:rFonts w:ascii="Times New Roman" w:eastAsia="Calibri" w:hAnsi="Times New Roman" w:cs="Times New Roman"/>
          <w:sz w:val="24"/>
          <w:szCs w:val="24"/>
          <w:lang w:val="en-US"/>
        </w:rPr>
        <w:t xml:space="preserve">This highlights the synergy between the modeling phase of energy flexible buildings and the development of flexibility KPIs and it is due to the great variety of aspects explorable. </w:t>
      </w:r>
    </w:p>
    <w:p w14:paraId="6835F638" w14:textId="77777777" w:rsidR="0063587D" w:rsidRDefault="0063587D" w:rsidP="00801043">
      <w:pPr>
        <w:spacing w:after="0" w:line="276" w:lineRule="auto"/>
        <w:jc w:val="both"/>
        <w:rPr>
          <w:noProof/>
        </w:rPr>
      </w:pPr>
    </w:p>
    <w:p w14:paraId="4F096592" w14:textId="21B7B0EC" w:rsidR="0063587D" w:rsidRDefault="0063587D" w:rsidP="00801043">
      <w:pPr>
        <w:spacing w:after="0" w:line="276" w:lineRule="auto"/>
        <w:jc w:val="both"/>
        <w:rPr>
          <w:noProof/>
        </w:rPr>
      </w:pPr>
      <w:r>
        <w:rPr>
          <w:noProof/>
        </w:rPr>
        <w:t>Sector coupling efficiency</w:t>
      </w:r>
    </w:p>
    <w:p w14:paraId="08BDD24E" w14:textId="1F1237CC" w:rsidR="0063587D" w:rsidRPr="007713A0" w:rsidRDefault="0063587D" w:rsidP="00801043">
      <w:pPr>
        <w:spacing w:after="0" w:line="276" w:lineRule="auto"/>
        <w:jc w:val="both"/>
        <w:rPr>
          <w:noProof/>
        </w:rPr>
      </w:pPr>
      <m:oMathPara>
        <m:oMath>
          <m:r>
            <w:rPr>
              <w:rFonts w:ascii="Cambria Math" w:hAnsi="Cambria Math"/>
              <w:noProof/>
            </w:rPr>
            <m:t>SCE=</m:t>
          </m:r>
          <m:f>
            <m:fPr>
              <m:ctrlPr>
                <w:rPr>
                  <w:rFonts w:ascii="Cambria Math" w:hAnsi="Cambria Math"/>
                  <w:i/>
                  <w:noProof/>
                </w:rPr>
              </m:ctrlPr>
            </m:fPr>
            <m:num>
              <m:r>
                <w:rPr>
                  <w:rFonts w:ascii="Cambria Math" w:hAnsi="Cambria Math"/>
                  <w:noProof/>
                </w:rPr>
                <m:t>cov(</m:t>
              </m:r>
              <m:sSub>
                <m:sSubPr>
                  <m:ctrlPr>
                    <w:rPr>
                      <w:rFonts w:ascii="Cambria Math" w:hAnsi="Cambria Math"/>
                      <w:i/>
                      <w:noProof/>
                    </w:rPr>
                  </m:ctrlPr>
                </m:sSubPr>
                <m:e>
                  <m:r>
                    <w:rPr>
                      <w:rFonts w:ascii="Cambria Math" w:hAnsi="Cambria Math"/>
                      <w:noProof/>
                    </w:rPr>
                    <m:t>P</m:t>
                  </m:r>
                </m:e>
                <m:sub>
                  <m:r>
                    <w:rPr>
                      <w:rFonts w:ascii="Cambria Math" w:hAnsi="Cambria Math"/>
                      <w:noProof/>
                    </w:rPr>
                    <m:t>nsh</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P</m:t>
                  </m:r>
                </m:e>
                <m:sub>
                  <m:r>
                    <w:rPr>
                      <w:rFonts w:ascii="Cambria Math" w:hAnsi="Cambria Math"/>
                      <w:noProof/>
                    </w:rPr>
                    <m:t>c</m:t>
                  </m:r>
                </m:sub>
              </m:sSub>
              <m:r>
                <w:rPr>
                  <w:rFonts w:ascii="Cambria Math" w:hAnsi="Cambria Math"/>
                  <w:noProof/>
                </w:rPr>
                <m:t>)</m:t>
              </m:r>
            </m:num>
            <m:den>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hAnsi="Cambria Math"/>
                          <w:noProof/>
                        </w:rPr>
                        <m:t>P</m:t>
                      </m:r>
                    </m:e>
                    <m:sub>
                      <m:r>
                        <w:rPr>
                          <w:rFonts w:ascii="Cambria Math" w:hAnsi="Cambria Math"/>
                          <w:noProof/>
                        </w:rPr>
                        <m:t>nsh</m:t>
                      </m:r>
                    </m:sub>
                  </m:sSub>
                </m:sub>
              </m:sSub>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hAnsi="Cambria Math"/>
                          <w:noProof/>
                        </w:rPr>
                        <m:t>P</m:t>
                      </m:r>
                    </m:e>
                    <m:sub>
                      <m:r>
                        <w:rPr>
                          <w:rFonts w:ascii="Cambria Math" w:hAnsi="Cambria Math"/>
                          <w:noProof/>
                        </w:rPr>
                        <m:t>c</m:t>
                      </m:r>
                    </m:sub>
                  </m:sSub>
                </m:sub>
              </m:sSub>
            </m:den>
          </m:f>
        </m:oMath>
      </m:oMathPara>
    </w:p>
    <w:p w14:paraId="7C7C867D" w14:textId="563A1D69" w:rsidR="007713A0" w:rsidRDefault="005B195F" w:rsidP="00801043">
      <w:pPr>
        <w:spacing w:after="0" w:line="276" w:lineRule="auto"/>
        <w:jc w:val="both"/>
        <w:rPr>
          <w:iCs/>
          <w:noProof/>
          <w:lang w:val="en-GB" w:eastAsia="zh-CN"/>
        </w:rPr>
      </w:pPr>
      <m:oMath>
        <m:sSub>
          <m:sSubPr>
            <m:ctrlPr>
              <w:rPr>
                <w:rFonts w:ascii="Cambria Math" w:hAnsi="Cambria Math"/>
                <w:i/>
                <w:noProof/>
                <w:lang w:val="sv-SE" w:eastAsia="zh-CN"/>
              </w:rPr>
            </m:ctrlPr>
          </m:sSubPr>
          <m:e>
            <m:r>
              <w:rPr>
                <w:rFonts w:ascii="Cambria Math" w:hAnsi="Cambria Math"/>
                <w:noProof/>
              </w:rPr>
              <m:t>P</m:t>
            </m:r>
            <m:ctrlPr>
              <w:rPr>
                <w:rFonts w:ascii="Cambria Math" w:hAnsi="Cambria Math"/>
                <w:i/>
                <w:noProof/>
              </w:rPr>
            </m:ctrlPr>
          </m:e>
          <m:sub>
            <m:r>
              <w:rPr>
                <w:rFonts w:ascii="Cambria Math" w:hAnsi="Cambria Math"/>
                <w:noProof/>
                <w:lang w:val="sv-SE" w:eastAsia="zh-CN"/>
              </w:rPr>
              <m:t>ns</m:t>
            </m:r>
            <m:r>
              <w:rPr>
                <w:rFonts w:ascii="Cambria Math" w:hAnsi="Cambria Math"/>
                <w:noProof/>
                <w:lang w:val="en-GB" w:eastAsia="zh-CN"/>
              </w:rPr>
              <m:t>h</m:t>
            </m:r>
          </m:sub>
        </m:sSub>
      </m:oMath>
      <w:r w:rsidR="007713A0" w:rsidRPr="007713A0">
        <w:rPr>
          <w:noProof/>
          <w:lang w:val="en-GB" w:eastAsia="zh-CN"/>
        </w:rPr>
        <w:t xml:space="preserve">: </w:t>
      </w:r>
      <w:r w:rsidR="007713A0" w:rsidRPr="007713A0">
        <w:rPr>
          <w:i/>
          <w:noProof/>
          <w:lang w:val="en-GB" w:eastAsia="zh-CN"/>
        </w:rPr>
        <w:t xml:space="preserve"> </w:t>
      </w:r>
      <w:r w:rsidR="007713A0" w:rsidRPr="007713A0">
        <w:rPr>
          <w:iCs/>
          <w:noProof/>
          <w:lang w:val="en-GB" w:eastAsia="zh-CN"/>
        </w:rPr>
        <w:t>non</w:t>
      </w:r>
      <w:r w:rsidR="007713A0">
        <w:rPr>
          <w:iCs/>
          <w:noProof/>
          <w:lang w:val="en-GB" w:eastAsia="zh-CN"/>
        </w:rPr>
        <w:t>-</w:t>
      </w:r>
      <w:r w:rsidR="007713A0" w:rsidRPr="007713A0">
        <w:rPr>
          <w:iCs/>
          <w:noProof/>
          <w:lang w:val="en-GB" w:eastAsia="zh-CN"/>
        </w:rPr>
        <w:t>shiftable l</w:t>
      </w:r>
      <w:r w:rsidR="007713A0">
        <w:rPr>
          <w:iCs/>
          <w:noProof/>
          <w:lang w:val="en-GB" w:eastAsia="zh-CN"/>
        </w:rPr>
        <w:t>oad (appliences, lighting…);</w:t>
      </w:r>
    </w:p>
    <w:p w14:paraId="6CDF5848" w14:textId="60812A21" w:rsidR="007713A0" w:rsidRDefault="005B195F" w:rsidP="00801043">
      <w:pPr>
        <w:spacing w:after="0" w:line="276" w:lineRule="auto"/>
        <w:jc w:val="both"/>
        <w:rPr>
          <w:iCs/>
          <w:noProof/>
          <w:lang w:val="en-GB" w:eastAsia="zh-CN"/>
        </w:rPr>
      </w:pPr>
      <m:oMath>
        <m:sSub>
          <m:sSubPr>
            <m:ctrlPr>
              <w:rPr>
                <w:rFonts w:ascii="Cambria Math" w:hAnsi="Cambria Math"/>
                <w:i/>
                <w:noProof/>
                <w:lang w:val="sv-SE" w:eastAsia="zh-CN"/>
              </w:rPr>
            </m:ctrlPr>
          </m:sSubPr>
          <m:e>
            <m:r>
              <w:rPr>
                <w:rFonts w:ascii="Cambria Math" w:hAnsi="Cambria Math"/>
                <w:noProof/>
              </w:rPr>
              <m:t>P</m:t>
            </m:r>
            <m:ctrlPr>
              <w:rPr>
                <w:rFonts w:ascii="Cambria Math" w:hAnsi="Cambria Math"/>
                <w:i/>
                <w:noProof/>
              </w:rPr>
            </m:ctrlPr>
          </m:e>
          <m:sub>
            <m:r>
              <w:rPr>
                <w:rFonts w:ascii="Cambria Math" w:hAnsi="Cambria Math"/>
                <w:noProof/>
                <w:lang w:val="sv-SE" w:eastAsia="zh-CN"/>
              </w:rPr>
              <m:t>c</m:t>
            </m:r>
          </m:sub>
        </m:sSub>
      </m:oMath>
      <w:r w:rsidR="007713A0" w:rsidRPr="007713A0">
        <w:rPr>
          <w:noProof/>
          <w:lang w:val="en-GB" w:eastAsia="zh-CN"/>
        </w:rPr>
        <w:t xml:space="preserve">: </w:t>
      </w:r>
      <w:r w:rsidR="007713A0" w:rsidRPr="007713A0">
        <w:rPr>
          <w:i/>
          <w:noProof/>
          <w:lang w:val="en-GB" w:eastAsia="zh-CN"/>
        </w:rPr>
        <w:t xml:space="preserve"> </w:t>
      </w:r>
      <w:r w:rsidR="007713A0">
        <w:rPr>
          <w:iCs/>
          <w:noProof/>
          <w:lang w:val="en-GB" w:eastAsia="zh-CN"/>
        </w:rPr>
        <w:t xml:space="preserve">cooling </w:t>
      </w:r>
      <w:r w:rsidR="007713A0" w:rsidRPr="007713A0">
        <w:rPr>
          <w:iCs/>
          <w:noProof/>
          <w:lang w:val="en-GB" w:eastAsia="zh-CN"/>
        </w:rPr>
        <w:t>e l</w:t>
      </w:r>
      <w:r w:rsidR="007713A0">
        <w:rPr>
          <w:iCs/>
          <w:noProof/>
          <w:lang w:val="en-GB" w:eastAsia="zh-CN"/>
        </w:rPr>
        <w:t>oad;</w:t>
      </w:r>
    </w:p>
    <w:p w14:paraId="7400F595" w14:textId="624E9D32" w:rsidR="007713A0" w:rsidRDefault="007713A0" w:rsidP="00801043">
      <w:pPr>
        <w:spacing w:after="0" w:line="276" w:lineRule="auto"/>
        <w:jc w:val="both"/>
        <w:rPr>
          <w:iCs/>
          <w:noProof/>
          <w:lang w:val="en-GB" w:eastAsia="zh-CN"/>
        </w:rPr>
      </w:pPr>
      <m:oMath>
        <m:r>
          <w:rPr>
            <w:rFonts w:ascii="Cambria Math" w:hAnsi="Cambria Math"/>
            <w:noProof/>
          </w:rPr>
          <m:t>cov()</m:t>
        </m:r>
      </m:oMath>
      <w:r w:rsidRPr="007713A0">
        <w:rPr>
          <w:noProof/>
          <w:lang w:val="en-GB" w:eastAsia="zh-CN"/>
        </w:rPr>
        <w:t xml:space="preserve">: </w:t>
      </w:r>
      <w:r w:rsidRPr="007713A0">
        <w:rPr>
          <w:i/>
          <w:noProof/>
          <w:lang w:val="en-GB" w:eastAsia="zh-CN"/>
        </w:rPr>
        <w:t xml:space="preserve"> </w:t>
      </w:r>
      <w:r>
        <w:rPr>
          <w:iCs/>
          <w:noProof/>
          <w:lang w:val="en-GB" w:eastAsia="zh-CN"/>
        </w:rPr>
        <w:t>covarience of two vaiables;</w:t>
      </w:r>
    </w:p>
    <w:p w14:paraId="359F24CD" w14:textId="35539381" w:rsidR="007713A0" w:rsidRDefault="007713A0" w:rsidP="00801043">
      <w:pPr>
        <w:spacing w:after="0" w:line="276" w:lineRule="auto"/>
        <w:jc w:val="both"/>
        <w:rPr>
          <w:noProof/>
        </w:rPr>
      </w:pPr>
      <m:oMath>
        <m:r>
          <w:rPr>
            <w:rFonts w:ascii="Cambria Math" w:hAnsi="Cambria Math"/>
            <w:noProof/>
          </w:rPr>
          <m:t>σ</m:t>
        </m:r>
      </m:oMath>
      <w:r>
        <w:rPr>
          <w:noProof/>
        </w:rPr>
        <w:t>: standard deviation.</w:t>
      </w:r>
    </w:p>
    <w:p w14:paraId="3411959E" w14:textId="5BAA76DF" w:rsidR="007713A0" w:rsidRPr="007713A0" w:rsidRDefault="007713A0" w:rsidP="00801043">
      <w:pPr>
        <w:spacing w:after="0" w:line="276" w:lineRule="auto"/>
        <w:jc w:val="both"/>
        <w:rPr>
          <w:iCs/>
          <w:noProof/>
          <w:lang w:val="en-GB" w:eastAsia="zh-CN"/>
        </w:rPr>
      </w:pPr>
      <w:r>
        <w:rPr>
          <w:noProof/>
        </w:rPr>
        <w:t xml:space="preserve"> </w:t>
      </w:r>
    </w:p>
    <w:p w14:paraId="784B74C9" w14:textId="50D73252" w:rsidR="006D06ED" w:rsidRDefault="006D06ED" w:rsidP="00801043">
      <w:pPr>
        <w:spacing w:after="0" w:line="276" w:lineRule="auto"/>
        <w:jc w:val="both"/>
        <w:rPr>
          <w:noProof/>
        </w:rPr>
      </w:pPr>
      <w:r>
        <w:rPr>
          <w:noProof/>
        </w:rPr>
        <w:t xml:space="preserve">P_total = </w:t>
      </w:r>
      <w:r w:rsidRPr="006D06ED">
        <w:rPr>
          <w:noProof/>
          <w:highlight w:val="yellow"/>
        </w:rPr>
        <w:t>P_lighting + P_appli</w:t>
      </w:r>
      <w:r>
        <w:rPr>
          <w:noProof/>
        </w:rPr>
        <w:t xml:space="preserve"> + </w:t>
      </w:r>
      <w:r w:rsidRPr="006D06ED">
        <w:rPr>
          <w:noProof/>
          <w:highlight w:val="green"/>
        </w:rPr>
        <w:t>P_cooling</w:t>
      </w:r>
    </w:p>
    <w:p w14:paraId="0307C78E" w14:textId="45AF7C97" w:rsidR="0063587D" w:rsidRDefault="0063587D" w:rsidP="00801043">
      <w:pPr>
        <w:spacing w:after="0" w:line="276" w:lineRule="auto"/>
        <w:jc w:val="both"/>
        <w:rPr>
          <w:noProof/>
        </w:rPr>
      </w:pPr>
      <w:r>
        <w:rPr>
          <w:noProof/>
        </w:rPr>
        <w:t xml:space="preserve">The index measures the </w:t>
      </w:r>
      <w:r w:rsidRPr="0063587D">
        <w:rPr>
          <w:noProof/>
        </w:rPr>
        <w:t>linear correlation between</w:t>
      </w:r>
      <w:r>
        <w:rPr>
          <w:noProof/>
        </w:rPr>
        <w:t xml:space="preserve"> non-shiftable load and shiftable load (thermal load)</w:t>
      </w:r>
      <w:r w:rsidRPr="0063587D">
        <w:rPr>
          <w:noProof/>
        </w:rPr>
        <w:t>.</w:t>
      </w:r>
      <w:r>
        <w:rPr>
          <w:noProof/>
        </w:rPr>
        <w:t xml:space="preserve"> </w:t>
      </w:r>
      <w:r w:rsidRPr="0063587D">
        <w:rPr>
          <w:noProof/>
        </w:rPr>
        <w:t xml:space="preserve">It is the ratio between the covariance of </w:t>
      </w:r>
      <w:r>
        <w:rPr>
          <w:noProof/>
        </w:rPr>
        <w:t>them</w:t>
      </w:r>
      <w:r w:rsidRPr="0063587D">
        <w:rPr>
          <w:noProof/>
        </w:rPr>
        <w:t xml:space="preserve"> and the product of their standard deviations; thus, it is essentially a normalized measurement of the covariance, such that the result always has a value between −1 and 1.</w:t>
      </w:r>
      <w:r>
        <w:rPr>
          <w:noProof/>
        </w:rPr>
        <w:t xml:space="preserve"> </w:t>
      </w:r>
    </w:p>
    <w:p w14:paraId="1699290E" w14:textId="77777777" w:rsidR="0063587D" w:rsidRDefault="0063587D" w:rsidP="00801043">
      <w:pPr>
        <w:spacing w:after="0" w:line="276" w:lineRule="auto"/>
        <w:jc w:val="both"/>
        <w:rPr>
          <w:noProof/>
        </w:rPr>
      </w:pPr>
    </w:p>
    <w:p w14:paraId="4EC774BB" w14:textId="02C63AA6" w:rsidR="0063587D" w:rsidRDefault="0063587D" w:rsidP="001A25B1">
      <w:pPr>
        <w:spacing w:after="0" w:line="276" w:lineRule="auto"/>
        <w:jc w:val="center"/>
        <w:rPr>
          <w:rFonts w:ascii="Times New Roman" w:eastAsia="Calibri" w:hAnsi="Times New Roman" w:cs="Times New Roman"/>
          <w:sz w:val="24"/>
          <w:szCs w:val="24"/>
          <w:lang w:val="en-US"/>
        </w:rPr>
      </w:pPr>
      <w:r>
        <w:rPr>
          <w:noProof/>
        </w:rPr>
        <w:drawing>
          <wp:inline distT="0" distB="0" distL="0" distR="0" wp14:anchorId="1B73FBE6" wp14:editId="726C329F">
            <wp:extent cx="3155182" cy="1444218"/>
            <wp:effectExtent l="0" t="0" r="7620" b="3810"/>
            <wp:docPr id="1387612725" name="Picture 2" descr="A collage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12725" name="Picture 2" descr="A collage of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776" cy="1445863"/>
                    </a:xfrm>
                    <a:prstGeom prst="rect">
                      <a:avLst/>
                    </a:prstGeom>
                    <a:noFill/>
                    <a:ln>
                      <a:noFill/>
                    </a:ln>
                  </pic:spPr>
                </pic:pic>
              </a:graphicData>
            </a:graphic>
          </wp:inline>
        </w:drawing>
      </w:r>
    </w:p>
    <w:p w14:paraId="77731A35" w14:textId="3FFEFB36"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Pr>
          <w:rFonts w:ascii="Times New Roman" w:eastAsia="Calibri" w:hAnsi="Times New Roman" w:cs="Times New Roman"/>
          <w:sz w:val="24"/>
          <w:szCs w:val="24"/>
          <w:lang w:val="en-US"/>
        </w:rPr>
        <w:lastRenderedPageBreak/>
        <w:fldChar w:fldCharType="begin" w:fldLock="1"/>
      </w:r>
      <w:r w:rsidRPr="005B195F">
        <w:rPr>
          <w:rFonts w:ascii="Times New Roman" w:eastAsia="Calibri" w:hAnsi="Times New Roman" w:cs="Times New Roman"/>
          <w:sz w:val="24"/>
          <w:szCs w:val="24"/>
          <w:lang w:val="sv-SE"/>
        </w:rPr>
        <w:instrText xml:space="preserve">ADDIN Mendeley Bibliography CSL_BIBLIOGRAPHY </w:instrText>
      </w:r>
      <w:r>
        <w:rPr>
          <w:rFonts w:ascii="Times New Roman" w:eastAsia="Calibri" w:hAnsi="Times New Roman" w:cs="Times New Roman"/>
          <w:sz w:val="24"/>
          <w:szCs w:val="24"/>
          <w:lang w:val="en-US"/>
        </w:rPr>
        <w:fldChar w:fldCharType="separate"/>
      </w:r>
      <w:r w:rsidRPr="001D3C8C">
        <w:rPr>
          <w:rFonts w:ascii="Times New Roman" w:hAnsi="Times New Roman" w:cs="Times New Roman"/>
          <w:noProof/>
          <w:sz w:val="24"/>
        </w:rPr>
        <w:t xml:space="preserve">Bampoulas, A., Saffari, M., Pallonetto, F., Mangina, E., &amp; Finn, D. P. (2021). A fundamental unified framework to quantify and characterise energy flexibility of residential buildings with multiple electrical and thermal energy systems. </w:t>
      </w:r>
      <w:r w:rsidRPr="001D3C8C">
        <w:rPr>
          <w:rFonts w:ascii="Times New Roman" w:hAnsi="Times New Roman" w:cs="Times New Roman"/>
          <w:i/>
          <w:iCs/>
          <w:noProof/>
          <w:sz w:val="24"/>
        </w:rPr>
        <w:t>Applied Energy</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282</w:t>
      </w:r>
      <w:r w:rsidRPr="001D3C8C">
        <w:rPr>
          <w:rFonts w:ascii="Times New Roman" w:hAnsi="Times New Roman" w:cs="Times New Roman"/>
          <w:noProof/>
          <w:sz w:val="24"/>
        </w:rPr>
        <w:t>(PA), 116096. https://doi.org/10.1016/j.apenergy.2020.116096</w:t>
      </w:r>
    </w:p>
    <w:p w14:paraId="15C16CC0"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Finck, C., Beagon, P., Clauß, J., Pean, T., Vogler-Finck, P. J. C., Zhang, K., &amp; Kazmi, H. (2017). </w:t>
      </w:r>
      <w:r w:rsidRPr="001D3C8C">
        <w:rPr>
          <w:rFonts w:ascii="Times New Roman" w:hAnsi="Times New Roman" w:cs="Times New Roman"/>
          <w:i/>
          <w:iCs/>
          <w:noProof/>
          <w:sz w:val="24"/>
        </w:rPr>
        <w:t>Review of applied and tested control possibilities for energy flexibility in buildings: a technical report from IEA EBC Annex 67 Energy Flexible Buildings</w:t>
      </w:r>
      <w:r w:rsidRPr="001D3C8C">
        <w:rPr>
          <w:rFonts w:ascii="Times New Roman" w:hAnsi="Times New Roman" w:cs="Times New Roman"/>
          <w:noProof/>
          <w:sz w:val="24"/>
        </w:rPr>
        <w:t>. 1–59. https://doi.org/10.13140/RG.2.2.28740.73609</w:t>
      </w:r>
    </w:p>
    <w:p w14:paraId="3875C137"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Fitzpatrick, P., D’Ettorre, F., De Rosa, M., Yadack, M., Eicker, U., &amp; Finn, D. P. (2020). Influence of electricity prices on energy flexibility of integrated hybrid heat pump and thermal storage systems in a residential building. </w:t>
      </w:r>
      <w:r w:rsidRPr="001D3C8C">
        <w:rPr>
          <w:rFonts w:ascii="Times New Roman" w:hAnsi="Times New Roman" w:cs="Times New Roman"/>
          <w:i/>
          <w:iCs/>
          <w:noProof/>
          <w:sz w:val="24"/>
        </w:rPr>
        <w:t>Energy and Buildings</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223</w:t>
      </w:r>
      <w:r w:rsidRPr="001D3C8C">
        <w:rPr>
          <w:rFonts w:ascii="Times New Roman" w:hAnsi="Times New Roman" w:cs="Times New Roman"/>
          <w:noProof/>
          <w:sz w:val="24"/>
        </w:rPr>
        <w:t>, 110142. https://doi.org/10.1016/j.enbuild.2020.110142</w:t>
      </w:r>
    </w:p>
    <w:p w14:paraId="18822F0E"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Foteinaki, K., Li, R., Heller, A., &amp; Rode, C. (2018). Heating system energy flexibility of low-energy residential buildings. </w:t>
      </w:r>
      <w:r w:rsidRPr="001D3C8C">
        <w:rPr>
          <w:rFonts w:ascii="Times New Roman" w:hAnsi="Times New Roman" w:cs="Times New Roman"/>
          <w:i/>
          <w:iCs/>
          <w:noProof/>
          <w:sz w:val="24"/>
        </w:rPr>
        <w:t>Energy and Buildings</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180</w:t>
      </w:r>
      <w:r w:rsidRPr="001D3C8C">
        <w:rPr>
          <w:rFonts w:ascii="Times New Roman" w:hAnsi="Times New Roman" w:cs="Times New Roman"/>
          <w:noProof/>
          <w:sz w:val="24"/>
        </w:rPr>
        <w:t>, 95–108. https://doi.org/10.1016/j.enbuild.2018.09.030</w:t>
      </w:r>
    </w:p>
    <w:p w14:paraId="5553D7EB"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Koch, A., Girard, S., &amp; McKoen, K. (2012). Towards a neighbourhood scale for low- or zero-carbon building projects. </w:t>
      </w:r>
      <w:r w:rsidRPr="001D3C8C">
        <w:rPr>
          <w:rFonts w:ascii="Times New Roman" w:hAnsi="Times New Roman" w:cs="Times New Roman"/>
          <w:i/>
          <w:iCs/>
          <w:noProof/>
          <w:sz w:val="24"/>
        </w:rPr>
        <w:t>Building Research and Information</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40</w:t>
      </w:r>
      <w:r w:rsidRPr="001D3C8C">
        <w:rPr>
          <w:rFonts w:ascii="Times New Roman" w:hAnsi="Times New Roman" w:cs="Times New Roman"/>
          <w:noProof/>
          <w:sz w:val="24"/>
        </w:rPr>
        <w:t>(4), 527–537. https://doi.org/10.1080/09613218.2012.683241</w:t>
      </w:r>
    </w:p>
    <w:p w14:paraId="0C8F362E"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Le Dréau, J., &amp; Heiselberg, P. (2016). Energy flexibility of residential buildings using short term heat storage in the thermal mass. </w:t>
      </w:r>
      <w:r w:rsidRPr="001D3C8C">
        <w:rPr>
          <w:rFonts w:ascii="Times New Roman" w:hAnsi="Times New Roman" w:cs="Times New Roman"/>
          <w:i/>
          <w:iCs/>
          <w:noProof/>
          <w:sz w:val="24"/>
        </w:rPr>
        <w:t>Energy</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111</w:t>
      </w:r>
      <w:r w:rsidRPr="001D3C8C">
        <w:rPr>
          <w:rFonts w:ascii="Times New Roman" w:hAnsi="Times New Roman" w:cs="Times New Roman"/>
          <w:noProof/>
          <w:sz w:val="24"/>
        </w:rPr>
        <w:t>, 991–1002. https://doi.org/10.1016/j.energy.2016.05.076</w:t>
      </w:r>
    </w:p>
    <w:p w14:paraId="6D1E3416"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Marotta, I., Guarino, F., Cellura, M., &amp; Longo, S. (2020). Energy flexibility in Mediterranean buildings: a case-study in Sicily. </w:t>
      </w:r>
      <w:r w:rsidRPr="001D3C8C">
        <w:rPr>
          <w:rFonts w:ascii="Times New Roman" w:hAnsi="Times New Roman" w:cs="Times New Roman"/>
          <w:i/>
          <w:iCs/>
          <w:noProof/>
          <w:sz w:val="24"/>
        </w:rPr>
        <w:t>E3S Web of Conferences</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197</w:t>
      </w:r>
      <w:r w:rsidRPr="001D3C8C">
        <w:rPr>
          <w:rFonts w:ascii="Times New Roman" w:hAnsi="Times New Roman" w:cs="Times New Roman"/>
          <w:noProof/>
          <w:sz w:val="24"/>
        </w:rPr>
        <w:t>, 02002. https://doi.org/10.1051/e3sconf/202019702002</w:t>
      </w:r>
    </w:p>
    <w:p w14:paraId="3AC124BB"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Péan, T., Costa-Castelló, R., &amp; Salom, J. (2019). Price and carbon-based energy flexibility of residential heating and cooling loads using model predictive control. </w:t>
      </w:r>
      <w:r w:rsidRPr="001D3C8C">
        <w:rPr>
          <w:rFonts w:ascii="Times New Roman" w:hAnsi="Times New Roman" w:cs="Times New Roman"/>
          <w:i/>
          <w:iCs/>
          <w:noProof/>
          <w:sz w:val="24"/>
        </w:rPr>
        <w:t>Sustainable Cities and Society</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50</w:t>
      </w:r>
      <w:r w:rsidRPr="001D3C8C">
        <w:rPr>
          <w:rFonts w:ascii="Times New Roman" w:hAnsi="Times New Roman" w:cs="Times New Roman"/>
          <w:noProof/>
          <w:sz w:val="24"/>
        </w:rPr>
        <w:t>, 101579. https://doi.org/10.1016/J.SCS.2019.101579</w:t>
      </w:r>
    </w:p>
    <w:p w14:paraId="1EAAF3C6"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Péan, T., Salom, J., &amp; Ortiz, J. (2018). Environmental and Economic Impact of Demand Response Strategies for Energy Flexible Buildings. </w:t>
      </w:r>
      <w:r w:rsidRPr="001D3C8C">
        <w:rPr>
          <w:rFonts w:ascii="Times New Roman" w:hAnsi="Times New Roman" w:cs="Times New Roman"/>
          <w:i/>
          <w:iCs/>
          <w:noProof/>
          <w:sz w:val="24"/>
        </w:rPr>
        <w:t>Building Simulation and Optimization BSO 2018, 11-12th September 2018, Cambridge (UK)</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September</w:t>
      </w:r>
      <w:r w:rsidRPr="001D3C8C">
        <w:rPr>
          <w:rFonts w:ascii="Times New Roman" w:hAnsi="Times New Roman" w:cs="Times New Roman"/>
          <w:noProof/>
          <w:sz w:val="24"/>
        </w:rPr>
        <w:t>, 277–283.</w:t>
      </w:r>
    </w:p>
    <w:p w14:paraId="1F56C49B"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Péan, T., Torres, B., Salom, J., &amp; Ortiz, J. (2018). Representation of daily profiles of building energy flexibility. </w:t>
      </w:r>
      <w:r w:rsidRPr="001D3C8C">
        <w:rPr>
          <w:rFonts w:ascii="Times New Roman" w:hAnsi="Times New Roman" w:cs="Times New Roman"/>
          <w:i/>
          <w:iCs/>
          <w:noProof/>
          <w:sz w:val="24"/>
        </w:rPr>
        <w:t>ESim 2018, the 10th Conference of IBPSA-Canada</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May</w:t>
      </w:r>
      <w:r w:rsidRPr="001D3C8C">
        <w:rPr>
          <w:rFonts w:ascii="Times New Roman" w:hAnsi="Times New Roman" w:cs="Times New Roman"/>
          <w:noProof/>
          <w:sz w:val="24"/>
        </w:rPr>
        <w:t>, 153–162.</w:t>
      </w:r>
    </w:p>
    <w:p w14:paraId="5EC12155"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Reynders, G., Diriken, J., &amp; Saelens, D. (2015). A generic quantification method for the active demand response potential of structural storage in buildings. </w:t>
      </w:r>
      <w:r w:rsidRPr="001D3C8C">
        <w:rPr>
          <w:rFonts w:ascii="Times New Roman" w:hAnsi="Times New Roman" w:cs="Times New Roman"/>
          <w:i/>
          <w:iCs/>
          <w:noProof/>
          <w:sz w:val="24"/>
        </w:rPr>
        <w:t>14th International Conference of IBPSA - Building Simulation 2015, BS 2015, Conference Proceedings</w:t>
      </w:r>
      <w:r w:rsidRPr="001D3C8C">
        <w:rPr>
          <w:rFonts w:ascii="Times New Roman" w:hAnsi="Times New Roman" w:cs="Times New Roman"/>
          <w:noProof/>
          <w:sz w:val="24"/>
        </w:rPr>
        <w:t>, 1986–1993.</w:t>
      </w:r>
    </w:p>
    <w:p w14:paraId="3228AE78"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Salom, J., Marszal, A. J., Widén, J., Candanedo, J., &amp; Lindberg, K. B. (2014). Analysis of load match and grid interaction indicators in net zero energy buildings with simulated and monitored data. </w:t>
      </w:r>
      <w:r w:rsidRPr="001D3C8C">
        <w:rPr>
          <w:rFonts w:ascii="Times New Roman" w:hAnsi="Times New Roman" w:cs="Times New Roman"/>
          <w:i/>
          <w:iCs/>
          <w:noProof/>
          <w:sz w:val="24"/>
        </w:rPr>
        <w:t>Applied Energy</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136</w:t>
      </w:r>
      <w:r w:rsidRPr="001D3C8C">
        <w:rPr>
          <w:rFonts w:ascii="Times New Roman" w:hAnsi="Times New Roman" w:cs="Times New Roman"/>
          <w:noProof/>
          <w:sz w:val="24"/>
        </w:rPr>
        <w:t>, 119–131. https://doi.org/10.1016/j.apenergy.2014.09.018</w:t>
      </w:r>
    </w:p>
    <w:p w14:paraId="5DB9FD58"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Salom, J., Widén, J., Candanedo, J., Sartori, I., Voss, K., &amp; Marszal, A. (2011). Understanding net zero energy buildings: Evaluation of load matching and grid interaction indicators. </w:t>
      </w:r>
      <w:r w:rsidRPr="001D3C8C">
        <w:rPr>
          <w:rFonts w:ascii="Times New Roman" w:hAnsi="Times New Roman" w:cs="Times New Roman"/>
          <w:i/>
          <w:iCs/>
          <w:noProof/>
          <w:sz w:val="24"/>
        </w:rPr>
        <w:t>Proceedings of Building Simulation 2011: 12th Conference of International Building Performance Simulation Association</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6</w:t>
      </w:r>
      <w:r w:rsidRPr="001D3C8C">
        <w:rPr>
          <w:rFonts w:ascii="Times New Roman" w:hAnsi="Times New Roman" w:cs="Times New Roman"/>
          <w:noProof/>
          <w:sz w:val="24"/>
        </w:rPr>
        <w:t>, 2514–2521.</w:t>
      </w:r>
    </w:p>
    <w:p w14:paraId="43390B4F"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Stinner, S., Huchtemann, K., &amp; Müller, D. (2016). Quantifying the operational flexibility of building energy systems with thermal energy storages. </w:t>
      </w:r>
      <w:r w:rsidRPr="001D3C8C">
        <w:rPr>
          <w:rFonts w:ascii="Times New Roman" w:hAnsi="Times New Roman" w:cs="Times New Roman"/>
          <w:i/>
          <w:iCs/>
          <w:noProof/>
          <w:sz w:val="24"/>
        </w:rPr>
        <w:t>Applied Energy</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181</w:t>
      </w:r>
      <w:r w:rsidRPr="001D3C8C">
        <w:rPr>
          <w:rFonts w:ascii="Times New Roman" w:hAnsi="Times New Roman" w:cs="Times New Roman"/>
          <w:noProof/>
          <w:sz w:val="24"/>
        </w:rPr>
        <w:t>, 140–154. https://doi.org/10.1016/j.apenergy.2016.08.055</w:t>
      </w:r>
    </w:p>
    <w:p w14:paraId="7E73B694"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Vanhoudt, D., Geysen, D., Claessens, B., Leemans, F., Jespers, L., &amp; Van Bael, J. (2014). An actively controlled residential heat pump: Potential on peak shaving and maximization of self-consumption of renewable energy. </w:t>
      </w:r>
      <w:r w:rsidRPr="001D3C8C">
        <w:rPr>
          <w:rFonts w:ascii="Times New Roman" w:hAnsi="Times New Roman" w:cs="Times New Roman"/>
          <w:i/>
          <w:iCs/>
          <w:noProof/>
          <w:sz w:val="24"/>
        </w:rPr>
        <w:t>Renewable Energy</w:t>
      </w:r>
      <w:r w:rsidRPr="001D3C8C">
        <w:rPr>
          <w:rFonts w:ascii="Times New Roman" w:hAnsi="Times New Roman" w:cs="Times New Roman"/>
          <w:noProof/>
          <w:sz w:val="24"/>
        </w:rPr>
        <w:t xml:space="preserve">, </w:t>
      </w:r>
      <w:r w:rsidRPr="001D3C8C">
        <w:rPr>
          <w:rFonts w:ascii="Times New Roman" w:hAnsi="Times New Roman" w:cs="Times New Roman"/>
          <w:i/>
          <w:iCs/>
          <w:noProof/>
          <w:sz w:val="24"/>
        </w:rPr>
        <w:t>63</w:t>
      </w:r>
      <w:r w:rsidRPr="001D3C8C">
        <w:rPr>
          <w:rFonts w:ascii="Times New Roman" w:hAnsi="Times New Roman" w:cs="Times New Roman"/>
          <w:noProof/>
          <w:sz w:val="24"/>
        </w:rPr>
        <w:t>, 531–543. https://doi.org/10.1016/j.renene.2013.10.021</w:t>
      </w:r>
    </w:p>
    <w:p w14:paraId="383046A6"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Vigna, I., Pernetti, R., Pasut, W., &amp; Lollini, R. (2018). </w:t>
      </w:r>
      <w:r w:rsidRPr="001D3C8C">
        <w:rPr>
          <w:rFonts w:ascii="Times New Roman" w:hAnsi="Times New Roman" w:cs="Times New Roman"/>
          <w:i/>
          <w:iCs/>
          <w:noProof/>
          <w:sz w:val="24"/>
        </w:rPr>
        <w:t xml:space="preserve">Literature review on energy flexibility </w:t>
      </w:r>
      <w:r w:rsidRPr="001D3C8C">
        <w:rPr>
          <w:rFonts w:ascii="Times New Roman" w:hAnsi="Times New Roman" w:cs="Times New Roman"/>
          <w:i/>
          <w:iCs/>
          <w:noProof/>
          <w:sz w:val="24"/>
        </w:rPr>
        <w:lastRenderedPageBreak/>
        <w:t>definitions and indicators for building clusters</w:t>
      </w:r>
      <w:r w:rsidRPr="001D3C8C">
        <w:rPr>
          <w:rFonts w:ascii="Times New Roman" w:hAnsi="Times New Roman" w:cs="Times New Roman"/>
          <w:noProof/>
          <w:sz w:val="24"/>
        </w:rPr>
        <w:t>.</w:t>
      </w:r>
    </w:p>
    <w:p w14:paraId="2F1323F3" w14:textId="77777777" w:rsidR="001D3C8C" w:rsidRPr="001D3C8C" w:rsidRDefault="001D3C8C" w:rsidP="001D3C8C">
      <w:pPr>
        <w:widowControl w:val="0"/>
        <w:autoSpaceDE w:val="0"/>
        <w:autoSpaceDN w:val="0"/>
        <w:adjustRightInd w:val="0"/>
        <w:spacing w:after="0" w:line="240" w:lineRule="auto"/>
        <w:ind w:left="480" w:hanging="480"/>
        <w:rPr>
          <w:rFonts w:ascii="Times New Roman" w:hAnsi="Times New Roman" w:cs="Times New Roman"/>
          <w:noProof/>
          <w:sz w:val="24"/>
        </w:rPr>
      </w:pPr>
      <w:r w:rsidRPr="001D3C8C">
        <w:rPr>
          <w:rFonts w:ascii="Times New Roman" w:hAnsi="Times New Roman" w:cs="Times New Roman"/>
          <w:noProof/>
          <w:sz w:val="24"/>
        </w:rPr>
        <w:t xml:space="preserve">Voss, K., Sartori, I., Napolitano, A., Geier, S., Gonçalves, H., Hall, M., Heiselberg, P., Widén, J., Candanedo, J. A., Musall, E., Karlsson, B., &amp; Torcellini, P. (2016). </w:t>
      </w:r>
      <w:r w:rsidRPr="001D3C8C">
        <w:rPr>
          <w:rFonts w:ascii="Times New Roman" w:hAnsi="Times New Roman" w:cs="Times New Roman"/>
          <w:i/>
          <w:iCs/>
          <w:noProof/>
          <w:sz w:val="24"/>
        </w:rPr>
        <w:t>Load Matching and Grid Interaction of Net Zero Energy Buildings</w:t>
      </w:r>
      <w:r w:rsidRPr="001D3C8C">
        <w:rPr>
          <w:rFonts w:ascii="Times New Roman" w:hAnsi="Times New Roman" w:cs="Times New Roman"/>
          <w:noProof/>
          <w:sz w:val="24"/>
        </w:rPr>
        <w:t>. 1–8. https://doi.org/10.18086/eurosun.2010.06.24</w:t>
      </w:r>
    </w:p>
    <w:p w14:paraId="1AFD9F4D" w14:textId="52B760F8" w:rsidR="001D3C8C" w:rsidRPr="00CA7A69" w:rsidRDefault="001D3C8C" w:rsidP="001D3C8C">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fldChar w:fldCharType="end"/>
      </w:r>
    </w:p>
    <w:p w14:paraId="208FB2FE" w14:textId="77777777" w:rsidR="00CC3010" w:rsidRPr="00801043" w:rsidRDefault="00CC3010" w:rsidP="00801043">
      <w:pPr>
        <w:spacing w:line="276" w:lineRule="auto"/>
        <w:rPr>
          <w:lang w:val="en-GB"/>
        </w:rPr>
      </w:pPr>
    </w:p>
    <w:sectPr w:rsidR="00CC3010" w:rsidRPr="0080104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NR Thermal2" w:date="2024-05-08T15:38:00Z" w:initials="CT">
    <w:p w14:paraId="11A0AF7A" w14:textId="77777777" w:rsidR="00BC5D08" w:rsidRPr="00463F27" w:rsidRDefault="00BC5D08" w:rsidP="00BC5D08">
      <w:pPr>
        <w:pStyle w:val="CommentText"/>
        <w:rPr>
          <w:lang w:val="en-GB"/>
        </w:rPr>
      </w:pPr>
      <w:r>
        <w:rPr>
          <w:rStyle w:val="CommentReference"/>
        </w:rPr>
        <w:annotationRef/>
      </w:r>
      <w:r w:rsidRPr="00463F27">
        <w:rPr>
          <w:lang w:val="en-GB"/>
        </w:rPr>
        <w:t>See Table 2 for the equation a</w:t>
      </w:r>
      <w:r>
        <w:rPr>
          <w:lang w:val="en-GB"/>
        </w:rPr>
        <w:t>nd computational details</w:t>
      </w:r>
    </w:p>
  </w:comment>
  <w:comment w:id="2" w:author="CNR Thermal2" w:date="2024-05-08T16:22:00Z" w:initials="CT">
    <w:p w14:paraId="6A75B4AF" w14:textId="28F02F71" w:rsidR="00630F52" w:rsidRPr="00630F52" w:rsidRDefault="00630F52">
      <w:pPr>
        <w:pStyle w:val="CommentText"/>
        <w:rPr>
          <w:lang w:val="en-GB"/>
        </w:rPr>
      </w:pPr>
      <w:r>
        <w:rPr>
          <w:rStyle w:val="CommentReference"/>
        </w:rPr>
        <w:annotationRef/>
      </w:r>
      <w:r w:rsidRPr="00630F52">
        <w:rPr>
          <w:lang w:val="en-GB"/>
        </w:rPr>
        <w:t>KPIs for the flexible control o</w:t>
      </w:r>
      <w:r>
        <w:rPr>
          <w:lang w:val="en-GB"/>
        </w:rPr>
        <w:t>f a thermal energy storage device, see the description in the following text section. Use of this KPIs 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A0AF7A" w15:done="0"/>
  <w15:commentEx w15:paraId="6A75B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62511" w16cex:dateUtc="2024-05-08T13:38:00Z"/>
  <w16cex:commentExtensible w16cex:durableId="29E6254D" w16cex:dateUtc="2024-05-0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A0AF7A" w16cid:durableId="29E62511"/>
  <w16cid:commentId w16cid:paraId="6A75B4AF" w16cid:durableId="29E625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harisSIL-Italic">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32FF"/>
    <w:multiLevelType w:val="hybridMultilevel"/>
    <w:tmpl w:val="2E4E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22EB5"/>
    <w:multiLevelType w:val="multilevel"/>
    <w:tmpl w:val="2C5C17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02660"/>
    <w:multiLevelType w:val="hybridMultilevel"/>
    <w:tmpl w:val="F38E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F7CFC"/>
    <w:multiLevelType w:val="hybridMultilevel"/>
    <w:tmpl w:val="94B0C848"/>
    <w:lvl w:ilvl="0" w:tplc="AA88A938">
      <w:start w:val="1"/>
      <w:numFmt w:val="lowerLetter"/>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4" w15:restartNumberingAfterBreak="0">
    <w:nsid w:val="123642BC"/>
    <w:multiLevelType w:val="multilevel"/>
    <w:tmpl w:val="A3CAE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45132E"/>
    <w:multiLevelType w:val="hybridMultilevel"/>
    <w:tmpl w:val="DEB6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368BF"/>
    <w:multiLevelType w:val="hybridMultilevel"/>
    <w:tmpl w:val="549EB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2326F8"/>
    <w:multiLevelType w:val="hybridMultilevel"/>
    <w:tmpl w:val="9E384362"/>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2F71A1"/>
    <w:multiLevelType w:val="hybridMultilevel"/>
    <w:tmpl w:val="EF566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0A245F"/>
    <w:multiLevelType w:val="hybridMultilevel"/>
    <w:tmpl w:val="29E20A30"/>
    <w:lvl w:ilvl="0" w:tplc="1AF444CE">
      <w:start w:val="1"/>
      <w:numFmt w:val="decimal"/>
      <w:pStyle w:val="MDPI71References"/>
      <w:lvlText w:val="%1."/>
      <w:lvlJc w:val="left"/>
      <w:pPr>
        <w:ind w:left="780" w:hanging="4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7355F26"/>
    <w:multiLevelType w:val="multilevel"/>
    <w:tmpl w:val="E8967B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start w:val="1"/>
      <w:numFmt w:val="lowerLetter"/>
      <w:lvlText w:val="%2."/>
      <w:lvlJc w:val="left"/>
      <w:pPr>
        <w:ind w:left="2149" w:hanging="360"/>
      </w:pPr>
    </w:lvl>
    <w:lvl w:ilvl="2" w:tplc="0807001B">
      <w:start w:val="1"/>
      <w:numFmt w:val="lowerRoman"/>
      <w:lvlText w:val="%3."/>
      <w:lvlJc w:val="right"/>
      <w:pPr>
        <w:ind w:left="2869" w:hanging="180"/>
      </w:pPr>
    </w:lvl>
    <w:lvl w:ilvl="3" w:tplc="0807000F">
      <w:start w:val="1"/>
      <w:numFmt w:val="decimal"/>
      <w:lvlText w:val="%4."/>
      <w:lvlJc w:val="left"/>
      <w:pPr>
        <w:ind w:left="3589" w:hanging="360"/>
      </w:pPr>
    </w:lvl>
    <w:lvl w:ilvl="4" w:tplc="08070019">
      <w:start w:val="1"/>
      <w:numFmt w:val="lowerLetter"/>
      <w:lvlText w:val="%5."/>
      <w:lvlJc w:val="left"/>
      <w:pPr>
        <w:ind w:left="4309" w:hanging="360"/>
      </w:pPr>
    </w:lvl>
    <w:lvl w:ilvl="5" w:tplc="0807001B">
      <w:start w:val="1"/>
      <w:numFmt w:val="lowerRoman"/>
      <w:lvlText w:val="%6."/>
      <w:lvlJc w:val="right"/>
      <w:pPr>
        <w:ind w:left="5029" w:hanging="180"/>
      </w:pPr>
    </w:lvl>
    <w:lvl w:ilvl="6" w:tplc="0807000F">
      <w:start w:val="1"/>
      <w:numFmt w:val="decimal"/>
      <w:lvlText w:val="%7."/>
      <w:lvlJc w:val="left"/>
      <w:pPr>
        <w:ind w:left="5749" w:hanging="360"/>
      </w:pPr>
    </w:lvl>
    <w:lvl w:ilvl="7" w:tplc="08070019">
      <w:start w:val="1"/>
      <w:numFmt w:val="lowerLetter"/>
      <w:lvlText w:val="%8."/>
      <w:lvlJc w:val="left"/>
      <w:pPr>
        <w:ind w:left="6469" w:hanging="360"/>
      </w:pPr>
    </w:lvl>
    <w:lvl w:ilvl="8" w:tplc="0807001B">
      <w:start w:val="1"/>
      <w:numFmt w:val="lowerRoman"/>
      <w:lvlText w:val="%9."/>
      <w:lvlJc w:val="right"/>
      <w:pPr>
        <w:ind w:left="7189" w:hanging="180"/>
      </w:pPr>
    </w:lvl>
  </w:abstractNum>
  <w:abstractNum w:abstractNumId="12" w15:restartNumberingAfterBreak="0">
    <w:nsid w:val="28190662"/>
    <w:multiLevelType w:val="hybridMultilevel"/>
    <w:tmpl w:val="8DA4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C11306"/>
    <w:multiLevelType w:val="hybridMultilevel"/>
    <w:tmpl w:val="385EF408"/>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A0094"/>
    <w:multiLevelType w:val="hybridMultilevel"/>
    <w:tmpl w:val="6AB4E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137E33"/>
    <w:multiLevelType w:val="hybridMultilevel"/>
    <w:tmpl w:val="95D0B656"/>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000E70"/>
    <w:multiLevelType w:val="hybridMultilevel"/>
    <w:tmpl w:val="11AC6844"/>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1E6FEB"/>
    <w:multiLevelType w:val="hybridMultilevel"/>
    <w:tmpl w:val="C4D840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2B4CDA"/>
    <w:multiLevelType w:val="hybridMultilevel"/>
    <w:tmpl w:val="5986CAB4"/>
    <w:lvl w:ilvl="0" w:tplc="04100017">
      <w:start w:val="1"/>
      <w:numFmt w:val="lowerLetter"/>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9" w15:restartNumberingAfterBreak="0">
    <w:nsid w:val="358F5FB9"/>
    <w:multiLevelType w:val="hybridMultilevel"/>
    <w:tmpl w:val="E9CCBB6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start w:val="1"/>
      <w:numFmt w:val="bullet"/>
      <w:lvlText w:val=""/>
      <w:lvlJc w:val="left"/>
      <w:pPr>
        <w:ind w:left="2869" w:hanging="360"/>
      </w:pPr>
      <w:rPr>
        <w:rFonts w:ascii="Wingdings" w:hAnsi="Wingdings" w:hint="default"/>
      </w:rPr>
    </w:lvl>
    <w:lvl w:ilvl="3" w:tplc="08070001">
      <w:start w:val="1"/>
      <w:numFmt w:val="bullet"/>
      <w:lvlText w:val=""/>
      <w:lvlJc w:val="left"/>
      <w:pPr>
        <w:ind w:left="3589" w:hanging="360"/>
      </w:pPr>
      <w:rPr>
        <w:rFonts w:ascii="Symbol" w:hAnsi="Symbol" w:hint="default"/>
      </w:rPr>
    </w:lvl>
    <w:lvl w:ilvl="4" w:tplc="08070003">
      <w:start w:val="1"/>
      <w:numFmt w:val="bullet"/>
      <w:lvlText w:val="o"/>
      <w:lvlJc w:val="left"/>
      <w:pPr>
        <w:ind w:left="4309" w:hanging="360"/>
      </w:pPr>
      <w:rPr>
        <w:rFonts w:ascii="Courier New" w:hAnsi="Courier New" w:cs="Courier New" w:hint="default"/>
      </w:rPr>
    </w:lvl>
    <w:lvl w:ilvl="5" w:tplc="08070005">
      <w:start w:val="1"/>
      <w:numFmt w:val="bullet"/>
      <w:lvlText w:val=""/>
      <w:lvlJc w:val="left"/>
      <w:pPr>
        <w:ind w:left="5029" w:hanging="360"/>
      </w:pPr>
      <w:rPr>
        <w:rFonts w:ascii="Wingdings" w:hAnsi="Wingdings" w:hint="default"/>
      </w:rPr>
    </w:lvl>
    <w:lvl w:ilvl="6" w:tplc="08070001">
      <w:start w:val="1"/>
      <w:numFmt w:val="bullet"/>
      <w:lvlText w:val=""/>
      <w:lvlJc w:val="left"/>
      <w:pPr>
        <w:ind w:left="5749" w:hanging="360"/>
      </w:pPr>
      <w:rPr>
        <w:rFonts w:ascii="Symbol" w:hAnsi="Symbol" w:hint="default"/>
      </w:rPr>
    </w:lvl>
    <w:lvl w:ilvl="7" w:tplc="08070003">
      <w:start w:val="1"/>
      <w:numFmt w:val="bullet"/>
      <w:lvlText w:val="o"/>
      <w:lvlJc w:val="left"/>
      <w:pPr>
        <w:ind w:left="6469" w:hanging="360"/>
      </w:pPr>
      <w:rPr>
        <w:rFonts w:ascii="Courier New" w:hAnsi="Courier New" w:cs="Courier New" w:hint="default"/>
      </w:rPr>
    </w:lvl>
    <w:lvl w:ilvl="8" w:tplc="08070005">
      <w:start w:val="1"/>
      <w:numFmt w:val="bullet"/>
      <w:lvlText w:val=""/>
      <w:lvlJc w:val="left"/>
      <w:pPr>
        <w:ind w:left="7189" w:hanging="360"/>
      </w:pPr>
      <w:rPr>
        <w:rFonts w:ascii="Wingdings" w:hAnsi="Wingdings" w:hint="default"/>
      </w:rPr>
    </w:lvl>
  </w:abstractNum>
  <w:abstractNum w:abstractNumId="21" w15:restartNumberingAfterBreak="0">
    <w:nsid w:val="381C44E2"/>
    <w:multiLevelType w:val="hybridMultilevel"/>
    <w:tmpl w:val="01162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2D2F1B"/>
    <w:multiLevelType w:val="hybridMultilevel"/>
    <w:tmpl w:val="C3066BBA"/>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4B4C3F"/>
    <w:multiLevelType w:val="hybridMultilevel"/>
    <w:tmpl w:val="9EFA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3F7562"/>
    <w:multiLevelType w:val="hybridMultilevel"/>
    <w:tmpl w:val="CF163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4B414E"/>
    <w:multiLevelType w:val="hybridMultilevel"/>
    <w:tmpl w:val="06D8F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70A7DC4"/>
    <w:multiLevelType w:val="hybridMultilevel"/>
    <w:tmpl w:val="2AFA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22208F"/>
    <w:multiLevelType w:val="hybridMultilevel"/>
    <w:tmpl w:val="4922F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695938"/>
    <w:multiLevelType w:val="hybridMultilevel"/>
    <w:tmpl w:val="EFEA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03741D"/>
    <w:multiLevelType w:val="hybridMultilevel"/>
    <w:tmpl w:val="9C34D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5316F"/>
    <w:multiLevelType w:val="hybridMultilevel"/>
    <w:tmpl w:val="A0A0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D34A83"/>
    <w:multiLevelType w:val="hybridMultilevel"/>
    <w:tmpl w:val="0C0EC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A60C13"/>
    <w:multiLevelType w:val="hybridMultilevel"/>
    <w:tmpl w:val="52EC8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AA16FB"/>
    <w:multiLevelType w:val="multilevel"/>
    <w:tmpl w:val="476C61BC"/>
    <w:lvl w:ilvl="0">
      <w:start w:val="1"/>
      <w:numFmt w:val="decimal"/>
      <w:lvlText w:val="%1."/>
      <w:lvlJc w:val="left"/>
      <w:pPr>
        <w:ind w:left="785" w:hanging="360"/>
      </w:p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6DD3705"/>
    <w:multiLevelType w:val="hybridMultilevel"/>
    <w:tmpl w:val="99EEB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5F089B"/>
    <w:multiLevelType w:val="hybridMultilevel"/>
    <w:tmpl w:val="CA24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665B6C"/>
    <w:multiLevelType w:val="hybridMultilevel"/>
    <w:tmpl w:val="300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D6517A"/>
    <w:multiLevelType w:val="multilevel"/>
    <w:tmpl w:val="2C5C17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950DE"/>
    <w:multiLevelType w:val="hybridMultilevel"/>
    <w:tmpl w:val="3036F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712D17"/>
    <w:multiLevelType w:val="hybridMultilevel"/>
    <w:tmpl w:val="C1FC9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923831"/>
    <w:multiLevelType w:val="hybridMultilevel"/>
    <w:tmpl w:val="30C68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791CFF"/>
    <w:multiLevelType w:val="multilevel"/>
    <w:tmpl w:val="2C5C17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7516939"/>
    <w:multiLevelType w:val="hybridMultilevel"/>
    <w:tmpl w:val="FF16A91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3" w15:restartNumberingAfterBreak="0">
    <w:nsid w:val="6EB56356"/>
    <w:multiLevelType w:val="hybridMultilevel"/>
    <w:tmpl w:val="0A62C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5C1AF4"/>
    <w:multiLevelType w:val="hybridMultilevel"/>
    <w:tmpl w:val="9A44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C44071"/>
    <w:multiLevelType w:val="hybridMultilevel"/>
    <w:tmpl w:val="160C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68416D"/>
    <w:multiLevelType w:val="hybridMultilevel"/>
    <w:tmpl w:val="1B54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C91B21"/>
    <w:multiLevelType w:val="hybridMultilevel"/>
    <w:tmpl w:val="94EA3818"/>
    <w:lvl w:ilvl="0" w:tplc="08090001">
      <w:start w:val="1"/>
      <w:numFmt w:val="bullet"/>
      <w:lvlText w:val=""/>
      <w:lvlJc w:val="left"/>
      <w:pPr>
        <w:ind w:left="720" w:hanging="360"/>
      </w:pPr>
      <w:rPr>
        <w:rFonts w:ascii="Symbol" w:hAnsi="Symbol" w:hint="default"/>
      </w:rPr>
    </w:lvl>
    <w:lvl w:ilvl="1" w:tplc="646E65E2">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3230565">
    <w:abstractNumId w:val="11"/>
  </w:num>
  <w:num w:numId="2" w16cid:durableId="2074235384">
    <w:abstractNumId w:val="20"/>
  </w:num>
  <w:num w:numId="3" w16cid:durableId="803550153">
    <w:abstractNumId w:val="9"/>
  </w:num>
  <w:num w:numId="4" w16cid:durableId="1095594954">
    <w:abstractNumId w:val="15"/>
  </w:num>
  <w:num w:numId="5" w16cid:durableId="1482959469">
    <w:abstractNumId w:val="13"/>
  </w:num>
  <w:num w:numId="6" w16cid:durableId="229267539">
    <w:abstractNumId w:val="16"/>
  </w:num>
  <w:num w:numId="7" w16cid:durableId="304353418">
    <w:abstractNumId w:val="7"/>
  </w:num>
  <w:num w:numId="8" w16cid:durableId="1288900724">
    <w:abstractNumId w:val="33"/>
  </w:num>
  <w:num w:numId="9" w16cid:durableId="59064805">
    <w:abstractNumId w:val="32"/>
  </w:num>
  <w:num w:numId="10" w16cid:durableId="1865704225">
    <w:abstractNumId w:val="40"/>
  </w:num>
  <w:num w:numId="11" w16cid:durableId="384454926">
    <w:abstractNumId w:val="14"/>
  </w:num>
  <w:num w:numId="12" w16cid:durableId="1601833325">
    <w:abstractNumId w:val="21"/>
  </w:num>
  <w:num w:numId="13" w16cid:durableId="1195115153">
    <w:abstractNumId w:val="35"/>
  </w:num>
  <w:num w:numId="14" w16cid:durableId="605313364">
    <w:abstractNumId w:val="23"/>
  </w:num>
  <w:num w:numId="15" w16cid:durableId="2030451616">
    <w:abstractNumId w:val="10"/>
  </w:num>
  <w:num w:numId="16" w16cid:durableId="1773430831">
    <w:abstractNumId w:val="30"/>
  </w:num>
  <w:num w:numId="17" w16cid:durableId="1029994074">
    <w:abstractNumId w:val="39"/>
  </w:num>
  <w:num w:numId="18" w16cid:durableId="572545149">
    <w:abstractNumId w:val="31"/>
  </w:num>
  <w:num w:numId="19" w16cid:durableId="1890608557">
    <w:abstractNumId w:val="28"/>
  </w:num>
  <w:num w:numId="20" w16cid:durableId="702827364">
    <w:abstractNumId w:val="37"/>
  </w:num>
  <w:num w:numId="21" w16cid:durableId="1945260496">
    <w:abstractNumId w:val="12"/>
  </w:num>
  <w:num w:numId="22" w16cid:durableId="1580939392">
    <w:abstractNumId w:val="1"/>
  </w:num>
  <w:num w:numId="23" w16cid:durableId="1344699541">
    <w:abstractNumId w:val="47"/>
  </w:num>
  <w:num w:numId="24" w16cid:durableId="139541113">
    <w:abstractNumId w:val="41"/>
  </w:num>
  <w:num w:numId="25" w16cid:durableId="2146199000">
    <w:abstractNumId w:val="46"/>
  </w:num>
  <w:num w:numId="26" w16cid:durableId="1318339529">
    <w:abstractNumId w:val="5"/>
  </w:num>
  <w:num w:numId="27" w16cid:durableId="1717774261">
    <w:abstractNumId w:val="36"/>
  </w:num>
  <w:num w:numId="28" w16cid:durableId="1867401825">
    <w:abstractNumId w:val="45"/>
  </w:num>
  <w:num w:numId="29" w16cid:durableId="362293928">
    <w:abstractNumId w:val="44"/>
  </w:num>
  <w:num w:numId="30" w16cid:durableId="2025209802">
    <w:abstractNumId w:val="22"/>
  </w:num>
  <w:num w:numId="31" w16cid:durableId="756364777">
    <w:abstractNumId w:val="34"/>
  </w:num>
  <w:num w:numId="32" w16cid:durableId="274295122">
    <w:abstractNumId w:val="43"/>
  </w:num>
  <w:num w:numId="33" w16cid:durableId="72246577">
    <w:abstractNumId w:val="24"/>
  </w:num>
  <w:num w:numId="34" w16cid:durableId="2143765416">
    <w:abstractNumId w:val="26"/>
  </w:num>
  <w:num w:numId="35" w16cid:durableId="1936477648">
    <w:abstractNumId w:val="42"/>
  </w:num>
  <w:num w:numId="36" w16cid:durableId="112483569">
    <w:abstractNumId w:val="0"/>
  </w:num>
  <w:num w:numId="37" w16cid:durableId="1771966998">
    <w:abstractNumId w:val="4"/>
  </w:num>
  <w:num w:numId="38" w16cid:durableId="1159688742">
    <w:abstractNumId w:val="19"/>
  </w:num>
  <w:num w:numId="39" w16cid:durableId="714349488">
    <w:abstractNumId w:val="25"/>
  </w:num>
  <w:num w:numId="40" w16cid:durableId="891228577">
    <w:abstractNumId w:val="6"/>
  </w:num>
  <w:num w:numId="41" w16cid:durableId="1491872448">
    <w:abstractNumId w:val="29"/>
  </w:num>
  <w:num w:numId="42" w16cid:durableId="746151347">
    <w:abstractNumId w:val="8"/>
  </w:num>
  <w:num w:numId="43" w16cid:durableId="1193542268">
    <w:abstractNumId w:val="38"/>
  </w:num>
  <w:num w:numId="44" w16cid:durableId="953708365">
    <w:abstractNumId w:val="3"/>
  </w:num>
  <w:num w:numId="45" w16cid:durableId="1688749169">
    <w:abstractNumId w:val="18"/>
  </w:num>
  <w:num w:numId="46" w16cid:durableId="414086882">
    <w:abstractNumId w:val="17"/>
  </w:num>
  <w:num w:numId="47" w16cid:durableId="1402172978">
    <w:abstractNumId w:val="27"/>
  </w:num>
  <w:num w:numId="48" w16cid:durableId="19923677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NR Thermal2">
    <w15:presenceInfo w15:providerId="None" w15:userId="CNR Thermal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40"/>
    <w:rsid w:val="0001307A"/>
    <w:rsid w:val="00034207"/>
    <w:rsid w:val="00057012"/>
    <w:rsid w:val="000A1E0F"/>
    <w:rsid w:val="000D4F9E"/>
    <w:rsid w:val="00123E03"/>
    <w:rsid w:val="001450D5"/>
    <w:rsid w:val="001A25B1"/>
    <w:rsid w:val="001D3C8C"/>
    <w:rsid w:val="00201252"/>
    <w:rsid w:val="002D37D1"/>
    <w:rsid w:val="002E19B2"/>
    <w:rsid w:val="002E6A1D"/>
    <w:rsid w:val="00326B23"/>
    <w:rsid w:val="00361313"/>
    <w:rsid w:val="00384524"/>
    <w:rsid w:val="004071A4"/>
    <w:rsid w:val="00463F27"/>
    <w:rsid w:val="00512F4C"/>
    <w:rsid w:val="00540340"/>
    <w:rsid w:val="00541CA6"/>
    <w:rsid w:val="00567522"/>
    <w:rsid w:val="005B195F"/>
    <w:rsid w:val="00630F52"/>
    <w:rsid w:val="0063587D"/>
    <w:rsid w:val="0067748E"/>
    <w:rsid w:val="00696EBA"/>
    <w:rsid w:val="006D06ED"/>
    <w:rsid w:val="006D67CD"/>
    <w:rsid w:val="006F6B5C"/>
    <w:rsid w:val="00705353"/>
    <w:rsid w:val="007713A0"/>
    <w:rsid w:val="00801043"/>
    <w:rsid w:val="008340D3"/>
    <w:rsid w:val="00843D91"/>
    <w:rsid w:val="00871676"/>
    <w:rsid w:val="008C040B"/>
    <w:rsid w:val="008D4307"/>
    <w:rsid w:val="008E5749"/>
    <w:rsid w:val="00911D01"/>
    <w:rsid w:val="00921115"/>
    <w:rsid w:val="00963DC1"/>
    <w:rsid w:val="009666B3"/>
    <w:rsid w:val="00974993"/>
    <w:rsid w:val="0099555D"/>
    <w:rsid w:val="00995F89"/>
    <w:rsid w:val="00AB5125"/>
    <w:rsid w:val="00AF2F32"/>
    <w:rsid w:val="00AF603B"/>
    <w:rsid w:val="00B018A6"/>
    <w:rsid w:val="00B078C2"/>
    <w:rsid w:val="00B55E3E"/>
    <w:rsid w:val="00BC5D08"/>
    <w:rsid w:val="00C27A84"/>
    <w:rsid w:val="00C562F2"/>
    <w:rsid w:val="00CA7A69"/>
    <w:rsid w:val="00CC3010"/>
    <w:rsid w:val="00D42715"/>
    <w:rsid w:val="00D91A67"/>
    <w:rsid w:val="00DA49A8"/>
    <w:rsid w:val="00E84D5C"/>
    <w:rsid w:val="00F032AF"/>
    <w:rsid w:val="00F22A6A"/>
    <w:rsid w:val="00F40193"/>
    <w:rsid w:val="00FB0119"/>
    <w:rsid w:val="00FE6ED0"/>
    <w:rsid w:val="00FF2BBD"/>
    <w:rsid w:val="00FF2E3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C597"/>
  <w15:chartTrackingRefBased/>
  <w15:docId w15:val="{B78588E8-14C9-4C00-B3BF-9F48B0C5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D08"/>
  </w:style>
  <w:style w:type="paragraph" w:styleId="Heading1">
    <w:name w:val="heading 1"/>
    <w:basedOn w:val="Normal"/>
    <w:next w:val="Normal"/>
    <w:link w:val="Heading1Char"/>
    <w:uiPriority w:val="9"/>
    <w:qFormat/>
    <w:rsid w:val="00CA7A69"/>
    <w:pPr>
      <w:keepNext/>
      <w:pageBreakBefore/>
      <w:tabs>
        <w:tab w:val="left" w:pos="567"/>
      </w:tabs>
      <w:spacing w:after="120" w:line="360" w:lineRule="auto"/>
      <w:jc w:val="both"/>
      <w:outlineLvl w:val="0"/>
    </w:pPr>
    <w:rPr>
      <w:rFonts w:ascii="Times New Roman" w:eastAsia="Times New Roman" w:hAnsi="Times New Roman" w:cs="Times New Roman"/>
      <w:b/>
      <w:sz w:val="40"/>
      <w:szCs w:val="20"/>
      <w:lang w:eastAsia="it-IT"/>
    </w:rPr>
  </w:style>
  <w:style w:type="paragraph" w:styleId="Heading2">
    <w:name w:val="heading 2"/>
    <w:basedOn w:val="Normal"/>
    <w:next w:val="Normal"/>
    <w:link w:val="Heading2Char"/>
    <w:qFormat/>
    <w:rsid w:val="00CA7A69"/>
    <w:pPr>
      <w:keepNext/>
      <w:tabs>
        <w:tab w:val="left" w:pos="567"/>
      </w:tabs>
      <w:spacing w:before="240" w:after="120" w:line="360" w:lineRule="auto"/>
      <w:outlineLvl w:val="1"/>
    </w:pPr>
    <w:rPr>
      <w:rFonts w:ascii="Times New Roman" w:eastAsia="Times New Roman" w:hAnsi="Times New Roman" w:cs="Times New Roman"/>
      <w:b/>
      <w:i/>
      <w:sz w:val="28"/>
      <w:szCs w:val="28"/>
      <w:lang w:eastAsia="it-IT"/>
    </w:rPr>
  </w:style>
  <w:style w:type="paragraph" w:styleId="Heading3">
    <w:name w:val="heading 3"/>
    <w:basedOn w:val="Normal"/>
    <w:next w:val="Normal"/>
    <w:link w:val="Heading3Char"/>
    <w:uiPriority w:val="9"/>
    <w:qFormat/>
    <w:rsid w:val="00CA7A69"/>
    <w:pPr>
      <w:keepNext/>
      <w:spacing w:before="240" w:after="120" w:line="360" w:lineRule="auto"/>
      <w:jc w:val="both"/>
      <w:outlineLvl w:val="2"/>
    </w:pPr>
    <w:rPr>
      <w:rFonts w:ascii="Times New Roman" w:eastAsia="Times New Roman" w:hAnsi="Times New Roman" w:cs="Times New Roman"/>
      <w:b/>
      <w:i/>
      <w:sz w:val="24"/>
      <w:szCs w:val="20"/>
      <w:lang w:eastAsia="it-IT"/>
    </w:rPr>
  </w:style>
  <w:style w:type="paragraph" w:styleId="Heading4">
    <w:name w:val="heading 4"/>
    <w:basedOn w:val="Normal"/>
    <w:next w:val="Normal"/>
    <w:link w:val="Heading4Char"/>
    <w:uiPriority w:val="9"/>
    <w:qFormat/>
    <w:rsid w:val="00CA7A69"/>
    <w:pPr>
      <w:keepNext/>
      <w:spacing w:after="0" w:line="360" w:lineRule="auto"/>
      <w:outlineLvl w:val="3"/>
    </w:pPr>
    <w:rPr>
      <w:rFonts w:ascii="Times New Roman" w:eastAsia="Times New Roman" w:hAnsi="Times New Roman" w:cs="Times New Roman"/>
      <w:b/>
      <w:sz w:val="24"/>
      <w:szCs w:val="20"/>
      <w:lang w:eastAsia="it-IT"/>
    </w:rPr>
  </w:style>
  <w:style w:type="paragraph" w:styleId="Heading5">
    <w:name w:val="heading 5"/>
    <w:basedOn w:val="Normal"/>
    <w:next w:val="Normal"/>
    <w:link w:val="Heading5Char"/>
    <w:uiPriority w:val="9"/>
    <w:qFormat/>
    <w:rsid w:val="00CA7A69"/>
    <w:pPr>
      <w:keepNext/>
      <w:spacing w:after="0" w:line="360" w:lineRule="auto"/>
      <w:outlineLvl w:val="4"/>
    </w:pPr>
    <w:rPr>
      <w:rFonts w:ascii="Times New Roman" w:eastAsia="Times New Roman" w:hAnsi="Times New Roman" w:cs="Times New Roman"/>
      <w:b/>
      <w:sz w:val="24"/>
      <w:szCs w:val="20"/>
      <w:lang w:eastAsia="it-IT"/>
    </w:rPr>
  </w:style>
  <w:style w:type="paragraph" w:styleId="Heading6">
    <w:name w:val="heading 6"/>
    <w:basedOn w:val="Normal"/>
    <w:next w:val="Normal"/>
    <w:link w:val="Heading6Char"/>
    <w:qFormat/>
    <w:rsid w:val="00CA7A69"/>
    <w:pPr>
      <w:keepNext/>
      <w:spacing w:after="0" w:line="360" w:lineRule="auto"/>
      <w:jc w:val="both"/>
      <w:outlineLvl w:val="5"/>
    </w:pPr>
    <w:rPr>
      <w:rFonts w:ascii="Times New Roman" w:eastAsia="Times New Roman" w:hAnsi="Times New Roman" w:cs="Times New Roman"/>
      <w:sz w:val="40"/>
      <w:szCs w:val="20"/>
      <w:lang w:eastAsia="it-IT"/>
    </w:rPr>
  </w:style>
  <w:style w:type="paragraph" w:styleId="Heading7">
    <w:name w:val="heading 7"/>
    <w:basedOn w:val="Normal"/>
    <w:next w:val="Normal"/>
    <w:link w:val="Heading7Char"/>
    <w:qFormat/>
    <w:rsid w:val="00CA7A69"/>
    <w:pPr>
      <w:keepNext/>
      <w:spacing w:after="0" w:line="360" w:lineRule="auto"/>
      <w:jc w:val="both"/>
      <w:outlineLvl w:val="6"/>
    </w:pPr>
    <w:rPr>
      <w:rFonts w:ascii="Times New Roman" w:eastAsia="Times New Roman" w:hAnsi="Times New Roman" w:cs="Times New Roman"/>
      <w:b/>
      <w:sz w:val="4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69"/>
    <w:rPr>
      <w:rFonts w:ascii="Times New Roman" w:eastAsia="Times New Roman" w:hAnsi="Times New Roman" w:cs="Times New Roman"/>
      <w:b/>
      <w:sz w:val="40"/>
      <w:szCs w:val="20"/>
      <w:lang w:eastAsia="it-IT"/>
    </w:rPr>
  </w:style>
  <w:style w:type="character" w:customStyle="1" w:styleId="Heading2Char">
    <w:name w:val="Heading 2 Char"/>
    <w:basedOn w:val="DefaultParagraphFont"/>
    <w:link w:val="Heading2"/>
    <w:rsid w:val="00CA7A69"/>
    <w:rPr>
      <w:rFonts w:ascii="Times New Roman" w:eastAsia="Times New Roman" w:hAnsi="Times New Roman" w:cs="Times New Roman"/>
      <w:b/>
      <w:i/>
      <w:sz w:val="28"/>
      <w:szCs w:val="28"/>
      <w:lang w:eastAsia="it-IT"/>
    </w:rPr>
  </w:style>
  <w:style w:type="character" w:customStyle="1" w:styleId="Heading3Char">
    <w:name w:val="Heading 3 Char"/>
    <w:basedOn w:val="DefaultParagraphFont"/>
    <w:link w:val="Heading3"/>
    <w:uiPriority w:val="9"/>
    <w:rsid w:val="00CA7A69"/>
    <w:rPr>
      <w:rFonts w:ascii="Times New Roman" w:eastAsia="Times New Roman" w:hAnsi="Times New Roman" w:cs="Times New Roman"/>
      <w:b/>
      <w:i/>
      <w:sz w:val="24"/>
      <w:szCs w:val="20"/>
      <w:lang w:eastAsia="it-IT"/>
    </w:rPr>
  </w:style>
  <w:style w:type="character" w:customStyle="1" w:styleId="Heading4Char">
    <w:name w:val="Heading 4 Char"/>
    <w:basedOn w:val="DefaultParagraphFont"/>
    <w:link w:val="Heading4"/>
    <w:uiPriority w:val="9"/>
    <w:rsid w:val="00CA7A69"/>
    <w:rPr>
      <w:rFonts w:ascii="Times New Roman" w:eastAsia="Times New Roman" w:hAnsi="Times New Roman" w:cs="Times New Roman"/>
      <w:b/>
      <w:sz w:val="24"/>
      <w:szCs w:val="20"/>
      <w:lang w:eastAsia="it-IT"/>
    </w:rPr>
  </w:style>
  <w:style w:type="character" w:customStyle="1" w:styleId="Heading5Char">
    <w:name w:val="Heading 5 Char"/>
    <w:basedOn w:val="DefaultParagraphFont"/>
    <w:link w:val="Heading5"/>
    <w:uiPriority w:val="9"/>
    <w:rsid w:val="00CA7A69"/>
    <w:rPr>
      <w:rFonts w:ascii="Times New Roman" w:eastAsia="Times New Roman" w:hAnsi="Times New Roman" w:cs="Times New Roman"/>
      <w:b/>
      <w:sz w:val="24"/>
      <w:szCs w:val="20"/>
      <w:lang w:eastAsia="it-IT"/>
    </w:rPr>
  </w:style>
  <w:style w:type="character" w:customStyle="1" w:styleId="Heading6Char">
    <w:name w:val="Heading 6 Char"/>
    <w:basedOn w:val="DefaultParagraphFont"/>
    <w:link w:val="Heading6"/>
    <w:rsid w:val="00CA7A69"/>
    <w:rPr>
      <w:rFonts w:ascii="Times New Roman" w:eastAsia="Times New Roman" w:hAnsi="Times New Roman" w:cs="Times New Roman"/>
      <w:sz w:val="40"/>
      <w:szCs w:val="20"/>
      <w:lang w:eastAsia="it-IT"/>
    </w:rPr>
  </w:style>
  <w:style w:type="character" w:customStyle="1" w:styleId="Heading7Char">
    <w:name w:val="Heading 7 Char"/>
    <w:basedOn w:val="DefaultParagraphFont"/>
    <w:link w:val="Heading7"/>
    <w:rsid w:val="00CA7A69"/>
    <w:rPr>
      <w:rFonts w:ascii="Times New Roman" w:eastAsia="Times New Roman" w:hAnsi="Times New Roman" w:cs="Times New Roman"/>
      <w:b/>
      <w:sz w:val="40"/>
      <w:szCs w:val="20"/>
      <w:lang w:eastAsia="it-IT"/>
    </w:rPr>
  </w:style>
  <w:style w:type="numbering" w:customStyle="1" w:styleId="Nessunelenco1">
    <w:name w:val="Nessun elenco1"/>
    <w:next w:val="NoList"/>
    <w:uiPriority w:val="99"/>
    <w:semiHidden/>
    <w:unhideWhenUsed/>
    <w:rsid w:val="00CA7A69"/>
  </w:style>
  <w:style w:type="paragraph" w:styleId="Footer">
    <w:name w:val="footer"/>
    <w:basedOn w:val="Header"/>
    <w:link w:val="FooterChar"/>
    <w:uiPriority w:val="99"/>
    <w:rsid w:val="00CA7A69"/>
    <w:pPr>
      <w:tabs>
        <w:tab w:val="center" w:pos="4153"/>
        <w:tab w:val="right" w:pos="8306"/>
      </w:tabs>
    </w:pPr>
  </w:style>
  <w:style w:type="character" w:customStyle="1" w:styleId="FooterChar">
    <w:name w:val="Footer Char"/>
    <w:basedOn w:val="DefaultParagraphFont"/>
    <w:link w:val="Footer"/>
    <w:uiPriority w:val="99"/>
    <w:rsid w:val="00CA7A69"/>
    <w:rPr>
      <w:rFonts w:ascii="Times New Roman" w:eastAsia="Times New Roman" w:hAnsi="Times New Roman" w:cs="Times New Roman"/>
      <w:i/>
      <w:sz w:val="24"/>
      <w:szCs w:val="20"/>
      <w:lang w:eastAsia="it-IT"/>
    </w:rPr>
  </w:style>
  <w:style w:type="character" w:styleId="PageNumber">
    <w:name w:val="page number"/>
    <w:basedOn w:val="DefaultParagraphFont"/>
    <w:rsid w:val="00CA7A69"/>
  </w:style>
  <w:style w:type="paragraph" w:styleId="Header">
    <w:name w:val="header"/>
    <w:basedOn w:val="Normal"/>
    <w:link w:val="HeaderChar"/>
    <w:rsid w:val="00CA7A69"/>
    <w:pPr>
      <w:pBdr>
        <w:bottom w:val="single" w:sz="6" w:space="1" w:color="auto"/>
      </w:pBdr>
      <w:tabs>
        <w:tab w:val="right" w:pos="7769"/>
        <w:tab w:val="right" w:pos="11199"/>
      </w:tabs>
      <w:spacing w:after="0" w:line="360" w:lineRule="auto"/>
      <w:jc w:val="both"/>
    </w:pPr>
    <w:rPr>
      <w:rFonts w:ascii="Times New Roman" w:eastAsia="Times New Roman" w:hAnsi="Times New Roman" w:cs="Times New Roman"/>
      <w:i/>
      <w:sz w:val="24"/>
      <w:szCs w:val="20"/>
      <w:lang w:eastAsia="it-IT"/>
    </w:rPr>
  </w:style>
  <w:style w:type="character" w:customStyle="1" w:styleId="HeaderChar">
    <w:name w:val="Header Char"/>
    <w:basedOn w:val="DefaultParagraphFont"/>
    <w:link w:val="Header"/>
    <w:rsid w:val="00CA7A69"/>
    <w:rPr>
      <w:rFonts w:ascii="Times New Roman" w:eastAsia="Times New Roman" w:hAnsi="Times New Roman" w:cs="Times New Roman"/>
      <w:i/>
      <w:sz w:val="24"/>
      <w:szCs w:val="20"/>
      <w:lang w:eastAsia="it-IT"/>
    </w:rPr>
  </w:style>
  <w:style w:type="paragraph" w:customStyle="1" w:styleId="Corpodeltesto1">
    <w:name w:val="Corpo del testo1"/>
    <w:basedOn w:val="Normal"/>
    <w:link w:val="CorpodeltestoCarattere"/>
    <w:rsid w:val="00CA7A69"/>
    <w:pPr>
      <w:spacing w:after="0" w:line="360" w:lineRule="auto"/>
      <w:jc w:val="both"/>
    </w:pPr>
    <w:rPr>
      <w:rFonts w:ascii="Arial" w:eastAsia="Times New Roman" w:hAnsi="Arial" w:cs="Times New Roman"/>
      <w:sz w:val="24"/>
      <w:szCs w:val="20"/>
      <w:lang w:eastAsia="it-IT"/>
    </w:rPr>
  </w:style>
  <w:style w:type="paragraph" w:styleId="TOC1">
    <w:name w:val="toc 1"/>
    <w:basedOn w:val="Normal"/>
    <w:next w:val="Normal"/>
    <w:autoRedefine/>
    <w:uiPriority w:val="39"/>
    <w:qFormat/>
    <w:rsid w:val="00CA7A69"/>
    <w:pPr>
      <w:tabs>
        <w:tab w:val="left" w:pos="567"/>
        <w:tab w:val="right" w:leader="dot" w:pos="7768"/>
      </w:tabs>
      <w:spacing w:after="0" w:line="240" w:lineRule="auto"/>
      <w:ind w:left="567" w:hanging="567"/>
    </w:pPr>
    <w:rPr>
      <w:rFonts w:ascii="Times New Roman" w:eastAsia="Times New Roman" w:hAnsi="Times New Roman" w:cs="Times New Roman"/>
      <w:noProof/>
      <w:sz w:val="20"/>
      <w:szCs w:val="20"/>
      <w:lang w:eastAsia="it-IT"/>
    </w:rPr>
  </w:style>
  <w:style w:type="paragraph" w:styleId="TOC2">
    <w:name w:val="toc 2"/>
    <w:basedOn w:val="Normal"/>
    <w:next w:val="Normal"/>
    <w:autoRedefine/>
    <w:uiPriority w:val="39"/>
    <w:qFormat/>
    <w:rsid w:val="00CA7A69"/>
    <w:pPr>
      <w:tabs>
        <w:tab w:val="right" w:leader="dot" w:pos="7768"/>
      </w:tabs>
      <w:spacing w:after="0" w:line="240" w:lineRule="auto"/>
      <w:ind w:left="1134" w:right="567" w:hanging="567"/>
      <w:jc w:val="both"/>
    </w:pPr>
    <w:rPr>
      <w:rFonts w:ascii="Times New Roman" w:eastAsia="Times New Roman" w:hAnsi="Times New Roman" w:cs="Times New Roman"/>
      <w:sz w:val="20"/>
      <w:szCs w:val="20"/>
      <w:lang w:eastAsia="it-IT"/>
    </w:rPr>
  </w:style>
  <w:style w:type="paragraph" w:styleId="TOC3">
    <w:name w:val="toc 3"/>
    <w:basedOn w:val="Normal"/>
    <w:next w:val="Normal"/>
    <w:autoRedefine/>
    <w:uiPriority w:val="39"/>
    <w:qFormat/>
    <w:rsid w:val="00CA7A69"/>
    <w:pPr>
      <w:tabs>
        <w:tab w:val="right" w:leader="dot" w:pos="7768"/>
      </w:tabs>
      <w:spacing w:after="0" w:line="360" w:lineRule="auto"/>
      <w:ind w:left="1843" w:right="567" w:hanging="709"/>
      <w:jc w:val="both"/>
    </w:pPr>
    <w:rPr>
      <w:rFonts w:ascii="Times New Roman" w:eastAsia="Times New Roman" w:hAnsi="Times New Roman" w:cs="Times New Roman"/>
      <w:sz w:val="24"/>
      <w:szCs w:val="20"/>
      <w:lang w:eastAsia="it-IT"/>
    </w:rPr>
  </w:style>
  <w:style w:type="paragraph" w:styleId="TOC4">
    <w:name w:val="toc 4"/>
    <w:basedOn w:val="Normal"/>
    <w:next w:val="Normal"/>
    <w:autoRedefine/>
    <w:uiPriority w:val="39"/>
    <w:rsid w:val="00CA7A69"/>
    <w:pPr>
      <w:spacing w:after="0" w:line="360" w:lineRule="auto"/>
      <w:ind w:left="400"/>
      <w:jc w:val="both"/>
    </w:pPr>
    <w:rPr>
      <w:rFonts w:ascii="Times New Roman" w:eastAsia="Times New Roman" w:hAnsi="Times New Roman" w:cs="Times New Roman"/>
      <w:sz w:val="24"/>
      <w:szCs w:val="20"/>
      <w:lang w:eastAsia="it-IT"/>
    </w:rPr>
  </w:style>
  <w:style w:type="paragraph" w:styleId="TOC5">
    <w:name w:val="toc 5"/>
    <w:basedOn w:val="Normal"/>
    <w:next w:val="Normal"/>
    <w:autoRedefine/>
    <w:uiPriority w:val="39"/>
    <w:rsid w:val="00CA7A69"/>
    <w:pPr>
      <w:spacing w:after="0" w:line="360" w:lineRule="auto"/>
      <w:ind w:left="600"/>
      <w:jc w:val="both"/>
    </w:pPr>
    <w:rPr>
      <w:rFonts w:ascii="Times New Roman" w:eastAsia="Times New Roman" w:hAnsi="Times New Roman" w:cs="Times New Roman"/>
      <w:sz w:val="24"/>
      <w:szCs w:val="20"/>
      <w:lang w:eastAsia="it-IT"/>
    </w:rPr>
  </w:style>
  <w:style w:type="paragraph" w:styleId="TOC6">
    <w:name w:val="toc 6"/>
    <w:basedOn w:val="Normal"/>
    <w:next w:val="Normal"/>
    <w:autoRedefine/>
    <w:uiPriority w:val="39"/>
    <w:rsid w:val="00CA7A69"/>
    <w:pPr>
      <w:spacing w:after="0" w:line="360" w:lineRule="auto"/>
      <w:ind w:left="800"/>
      <w:jc w:val="both"/>
    </w:pPr>
    <w:rPr>
      <w:rFonts w:ascii="Times New Roman" w:eastAsia="Times New Roman" w:hAnsi="Times New Roman" w:cs="Times New Roman"/>
      <w:sz w:val="24"/>
      <w:szCs w:val="20"/>
      <w:lang w:eastAsia="it-IT"/>
    </w:rPr>
  </w:style>
  <w:style w:type="paragraph" w:styleId="TOC7">
    <w:name w:val="toc 7"/>
    <w:basedOn w:val="Normal"/>
    <w:next w:val="Normal"/>
    <w:autoRedefine/>
    <w:uiPriority w:val="39"/>
    <w:rsid w:val="00CA7A69"/>
    <w:pPr>
      <w:spacing w:after="0" w:line="360" w:lineRule="auto"/>
      <w:ind w:left="1000"/>
      <w:jc w:val="both"/>
    </w:pPr>
    <w:rPr>
      <w:rFonts w:ascii="Times New Roman" w:eastAsia="Times New Roman" w:hAnsi="Times New Roman" w:cs="Times New Roman"/>
      <w:sz w:val="24"/>
      <w:szCs w:val="20"/>
      <w:lang w:eastAsia="it-IT"/>
    </w:rPr>
  </w:style>
  <w:style w:type="paragraph" w:styleId="TOC8">
    <w:name w:val="toc 8"/>
    <w:basedOn w:val="Normal"/>
    <w:next w:val="Normal"/>
    <w:autoRedefine/>
    <w:uiPriority w:val="39"/>
    <w:rsid w:val="00CA7A69"/>
    <w:pPr>
      <w:spacing w:after="0" w:line="360" w:lineRule="auto"/>
      <w:ind w:left="1200"/>
      <w:jc w:val="both"/>
    </w:pPr>
    <w:rPr>
      <w:rFonts w:ascii="Times New Roman" w:eastAsia="Times New Roman" w:hAnsi="Times New Roman" w:cs="Times New Roman"/>
      <w:sz w:val="24"/>
      <w:szCs w:val="20"/>
      <w:lang w:eastAsia="it-IT"/>
    </w:rPr>
  </w:style>
  <w:style w:type="paragraph" w:styleId="TOC9">
    <w:name w:val="toc 9"/>
    <w:basedOn w:val="Normal"/>
    <w:next w:val="Normal"/>
    <w:autoRedefine/>
    <w:uiPriority w:val="39"/>
    <w:rsid w:val="00CA7A69"/>
    <w:pPr>
      <w:spacing w:after="0" w:line="360" w:lineRule="auto"/>
      <w:ind w:left="1400"/>
      <w:jc w:val="both"/>
    </w:pPr>
    <w:rPr>
      <w:rFonts w:ascii="Times New Roman" w:eastAsia="Times New Roman" w:hAnsi="Times New Roman" w:cs="Times New Roman"/>
      <w:sz w:val="24"/>
      <w:szCs w:val="20"/>
      <w:lang w:eastAsia="it-IT"/>
    </w:rPr>
  </w:style>
  <w:style w:type="paragraph" w:styleId="BodyText2">
    <w:name w:val="Body Text 2"/>
    <w:basedOn w:val="Normal"/>
    <w:link w:val="BodyText2Char"/>
    <w:rsid w:val="00CA7A69"/>
    <w:pPr>
      <w:spacing w:after="0" w:line="360" w:lineRule="auto"/>
      <w:jc w:val="center"/>
    </w:pPr>
    <w:rPr>
      <w:rFonts w:ascii="Arial" w:eastAsia="Times New Roman" w:hAnsi="Arial" w:cs="Times New Roman"/>
      <w:b/>
      <w:color w:val="0000FF"/>
      <w:sz w:val="36"/>
      <w:szCs w:val="20"/>
      <w:lang w:eastAsia="it-IT"/>
    </w:rPr>
  </w:style>
  <w:style w:type="character" w:customStyle="1" w:styleId="BodyText2Char">
    <w:name w:val="Body Text 2 Char"/>
    <w:basedOn w:val="DefaultParagraphFont"/>
    <w:link w:val="BodyText2"/>
    <w:rsid w:val="00CA7A69"/>
    <w:rPr>
      <w:rFonts w:ascii="Arial" w:eastAsia="Times New Roman" w:hAnsi="Arial" w:cs="Times New Roman"/>
      <w:b/>
      <w:color w:val="0000FF"/>
      <w:sz w:val="36"/>
      <w:szCs w:val="20"/>
      <w:lang w:eastAsia="it-IT"/>
    </w:rPr>
  </w:style>
  <w:style w:type="character" w:styleId="Hyperlink">
    <w:name w:val="Hyperlink"/>
    <w:basedOn w:val="DefaultParagraphFont"/>
    <w:uiPriority w:val="99"/>
    <w:rsid w:val="00CA7A69"/>
    <w:rPr>
      <w:color w:val="0000FF"/>
      <w:u w:val="single"/>
    </w:rPr>
  </w:style>
  <w:style w:type="paragraph" w:styleId="BalloonText">
    <w:name w:val="Balloon Text"/>
    <w:basedOn w:val="Normal"/>
    <w:link w:val="BalloonTextChar"/>
    <w:uiPriority w:val="99"/>
    <w:semiHidden/>
    <w:rsid w:val="00CA7A69"/>
    <w:pPr>
      <w:spacing w:after="0" w:line="360" w:lineRule="auto"/>
      <w:jc w:val="both"/>
    </w:pPr>
    <w:rPr>
      <w:rFonts w:ascii="Tahoma" w:eastAsia="Times New Roman" w:hAnsi="Tahoma" w:cs="Wingdings"/>
      <w:sz w:val="16"/>
      <w:szCs w:val="16"/>
      <w:lang w:eastAsia="it-IT"/>
    </w:rPr>
  </w:style>
  <w:style w:type="character" w:customStyle="1" w:styleId="BalloonTextChar">
    <w:name w:val="Balloon Text Char"/>
    <w:basedOn w:val="DefaultParagraphFont"/>
    <w:link w:val="BalloonText"/>
    <w:uiPriority w:val="99"/>
    <w:semiHidden/>
    <w:rsid w:val="00CA7A69"/>
    <w:rPr>
      <w:rFonts w:ascii="Tahoma" w:eastAsia="Times New Roman" w:hAnsi="Tahoma" w:cs="Wingdings"/>
      <w:sz w:val="16"/>
      <w:szCs w:val="16"/>
      <w:lang w:eastAsia="it-IT"/>
    </w:rPr>
  </w:style>
  <w:style w:type="paragraph" w:customStyle="1" w:styleId="TestoAIMETA01">
    <w:name w:val="Testo AIMETA01"/>
    <w:basedOn w:val="Normal"/>
    <w:next w:val="Normal"/>
    <w:rsid w:val="00CA7A69"/>
    <w:pPr>
      <w:tabs>
        <w:tab w:val="left" w:pos="284"/>
      </w:tabs>
      <w:spacing w:after="0" w:line="280" w:lineRule="exact"/>
      <w:jc w:val="both"/>
    </w:pPr>
    <w:rPr>
      <w:rFonts w:ascii="Times" w:eastAsia="Times New Roman" w:hAnsi="Times" w:cs="Times New Roman"/>
      <w:sz w:val="24"/>
      <w:szCs w:val="20"/>
      <w:lang w:eastAsia="it-IT"/>
    </w:rPr>
  </w:style>
  <w:style w:type="paragraph" w:styleId="Caption">
    <w:name w:val="caption"/>
    <w:basedOn w:val="Normal"/>
    <w:next w:val="Normal"/>
    <w:link w:val="CaptionChar"/>
    <w:uiPriority w:val="35"/>
    <w:qFormat/>
    <w:rsid w:val="00CA7A69"/>
    <w:pPr>
      <w:spacing w:after="120" w:line="360" w:lineRule="auto"/>
      <w:jc w:val="center"/>
    </w:pPr>
    <w:rPr>
      <w:rFonts w:ascii="Times New Roman" w:eastAsia="Times New Roman" w:hAnsi="Times New Roman" w:cs="Times New Roman"/>
      <w:b/>
      <w:bCs/>
      <w:sz w:val="24"/>
      <w:szCs w:val="20"/>
      <w:lang w:eastAsia="it-IT"/>
    </w:rPr>
  </w:style>
  <w:style w:type="paragraph" w:styleId="Bibliography">
    <w:name w:val="Bibliography"/>
    <w:basedOn w:val="Normal"/>
    <w:next w:val="Normal"/>
    <w:uiPriority w:val="37"/>
    <w:unhideWhenUsed/>
    <w:rsid w:val="00CA7A69"/>
    <w:pPr>
      <w:tabs>
        <w:tab w:val="left" w:pos="851"/>
        <w:tab w:val="left" w:pos="4644"/>
        <w:tab w:val="left" w:pos="9286"/>
      </w:tabs>
      <w:spacing w:after="0" w:line="360" w:lineRule="auto"/>
      <w:ind w:left="567" w:hanging="567"/>
      <w:jc w:val="both"/>
    </w:pPr>
    <w:rPr>
      <w:rFonts w:ascii="Times New Roman" w:eastAsia="Times New Roman" w:hAnsi="Times New Roman" w:cs="Times New Roman"/>
      <w:sz w:val="24"/>
      <w:szCs w:val="20"/>
      <w:lang w:eastAsia="it-IT"/>
    </w:rPr>
  </w:style>
  <w:style w:type="character" w:customStyle="1" w:styleId="CorpodeltestoCarattere">
    <w:name w:val="Corpo del testo Carattere"/>
    <w:basedOn w:val="DefaultParagraphFont"/>
    <w:link w:val="Corpodeltesto1"/>
    <w:rsid w:val="00CA7A69"/>
    <w:rPr>
      <w:rFonts w:ascii="Arial" w:eastAsia="Times New Roman" w:hAnsi="Arial" w:cs="Times New Roman"/>
      <w:sz w:val="24"/>
      <w:szCs w:val="20"/>
      <w:lang w:eastAsia="it-IT"/>
    </w:rPr>
  </w:style>
  <w:style w:type="paragraph" w:styleId="Title">
    <w:name w:val="Title"/>
    <w:basedOn w:val="Normal"/>
    <w:next w:val="Normal"/>
    <w:link w:val="TitleChar"/>
    <w:uiPriority w:val="10"/>
    <w:qFormat/>
    <w:rsid w:val="00CA7A69"/>
    <w:pPr>
      <w:spacing w:after="0" w:line="360" w:lineRule="auto"/>
      <w:jc w:val="both"/>
    </w:pPr>
    <w:rPr>
      <w:rFonts w:ascii="Times New Roman" w:eastAsia="Times New Roman" w:hAnsi="Times New Roman" w:cs="Times New Roman"/>
      <w:b/>
      <w:sz w:val="40"/>
      <w:szCs w:val="20"/>
      <w:lang w:eastAsia="it-IT"/>
    </w:rPr>
  </w:style>
  <w:style w:type="character" w:customStyle="1" w:styleId="TitleChar">
    <w:name w:val="Title Char"/>
    <w:basedOn w:val="DefaultParagraphFont"/>
    <w:link w:val="Title"/>
    <w:uiPriority w:val="10"/>
    <w:rsid w:val="00CA7A69"/>
    <w:rPr>
      <w:rFonts w:ascii="Times New Roman" w:eastAsia="Times New Roman" w:hAnsi="Times New Roman" w:cs="Times New Roman"/>
      <w:b/>
      <w:sz w:val="40"/>
      <w:szCs w:val="20"/>
      <w:lang w:eastAsia="it-IT"/>
    </w:rPr>
  </w:style>
  <w:style w:type="paragraph" w:styleId="ListParagraph">
    <w:name w:val="List Paragraph"/>
    <w:basedOn w:val="Normal"/>
    <w:uiPriority w:val="34"/>
    <w:qFormat/>
    <w:rsid w:val="00CA7A69"/>
    <w:pPr>
      <w:spacing w:after="0" w:line="360" w:lineRule="auto"/>
      <w:ind w:left="720"/>
      <w:contextualSpacing/>
      <w:jc w:val="both"/>
    </w:pPr>
    <w:rPr>
      <w:rFonts w:ascii="Times New Roman" w:eastAsia="Times New Roman" w:hAnsi="Times New Roman" w:cs="Times New Roman"/>
      <w:sz w:val="24"/>
      <w:szCs w:val="20"/>
      <w:lang w:eastAsia="it-IT"/>
    </w:rPr>
  </w:style>
  <w:style w:type="paragraph" w:customStyle="1" w:styleId="Titolosommario1">
    <w:name w:val="Titolo sommario1"/>
    <w:basedOn w:val="Heading1"/>
    <w:next w:val="Normal"/>
    <w:uiPriority w:val="39"/>
    <w:unhideWhenUsed/>
    <w:qFormat/>
    <w:rsid w:val="00CA7A69"/>
    <w:pPr>
      <w:keepLines/>
      <w:spacing w:before="480" w:line="276" w:lineRule="auto"/>
      <w:jc w:val="left"/>
      <w:outlineLvl w:val="9"/>
    </w:pPr>
    <w:rPr>
      <w:rFonts w:ascii="Cambria" w:hAnsi="Cambria"/>
      <w:bCs/>
      <w:color w:val="365F91"/>
      <w:sz w:val="28"/>
      <w:szCs w:val="28"/>
    </w:rPr>
  </w:style>
  <w:style w:type="paragraph" w:customStyle="1" w:styleId="ReferenceBiblioUK">
    <w:name w:val="Reference Biblio UK"/>
    <w:basedOn w:val="Normal"/>
    <w:qFormat/>
    <w:rsid w:val="00CA7A69"/>
    <w:pPr>
      <w:spacing w:after="0" w:line="360" w:lineRule="auto"/>
      <w:ind w:left="567" w:hanging="567"/>
      <w:jc w:val="both"/>
    </w:pPr>
    <w:rPr>
      <w:rFonts w:ascii="Times New Roman" w:eastAsia="Times New Roman" w:hAnsi="Times New Roman" w:cs="Times New Roman"/>
      <w:sz w:val="24"/>
      <w:szCs w:val="20"/>
      <w:lang w:val="en-GB" w:eastAsia="it-IT"/>
    </w:rPr>
  </w:style>
  <w:style w:type="paragraph" w:styleId="NormalWeb">
    <w:name w:val="Normal (Web)"/>
    <w:basedOn w:val="Normal"/>
    <w:uiPriority w:val="99"/>
    <w:unhideWhenUsed/>
    <w:rsid w:val="00CA7A69"/>
    <w:pPr>
      <w:spacing w:after="150" w:line="384" w:lineRule="auto"/>
      <w:ind w:left="225" w:right="225"/>
    </w:pPr>
    <w:rPr>
      <w:rFonts w:ascii="Times New Roman" w:eastAsia="Times New Roman" w:hAnsi="Times New Roman" w:cs="Times New Roman"/>
      <w:color w:val="3E3E3E"/>
      <w:sz w:val="18"/>
      <w:szCs w:val="18"/>
      <w:lang w:eastAsia="it-IT"/>
    </w:rPr>
  </w:style>
  <w:style w:type="table" w:customStyle="1" w:styleId="Elencomedio2-Colore61">
    <w:name w:val="Elenco medio 2 - Colore 61"/>
    <w:basedOn w:val="TableNormal"/>
    <w:next w:val="MediumList2-Accent6"/>
    <w:uiPriority w:val="66"/>
    <w:rsid w:val="00CA7A69"/>
    <w:pPr>
      <w:spacing w:after="0" w:line="240" w:lineRule="auto"/>
    </w:pPr>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Fontereferenziale">
    <w:name w:val="Fonte referenziale"/>
    <w:basedOn w:val="NormalWeb"/>
    <w:qFormat/>
    <w:rsid w:val="00CA7A69"/>
    <w:pPr>
      <w:spacing w:after="120" w:line="240" w:lineRule="auto"/>
      <w:ind w:left="0" w:right="0"/>
    </w:pPr>
    <w:rPr>
      <w:i/>
      <w:color w:val="auto"/>
      <w:sz w:val="16"/>
      <w:szCs w:val="24"/>
    </w:rPr>
  </w:style>
  <w:style w:type="paragraph" w:customStyle="1" w:styleId="StileFontereferenzialePrimariga0cm">
    <w:name w:val="Stile Fonte referenziale + Prima riga:  0 cm"/>
    <w:basedOn w:val="Fontereferenziale"/>
    <w:rsid w:val="00CA7A69"/>
    <w:rPr>
      <w:iCs/>
      <w:szCs w:val="20"/>
    </w:rPr>
  </w:style>
  <w:style w:type="paragraph" w:styleId="FootnoteText">
    <w:name w:val="footnote text"/>
    <w:basedOn w:val="Normal"/>
    <w:link w:val="FootnoteTextChar"/>
    <w:rsid w:val="00CA7A69"/>
    <w:pPr>
      <w:spacing w:after="0" w:line="360" w:lineRule="auto"/>
      <w:jc w:val="both"/>
    </w:pPr>
    <w:rPr>
      <w:rFonts w:ascii="Times New Roman" w:eastAsia="Times New Roman" w:hAnsi="Times New Roman" w:cs="Times New Roman"/>
      <w:sz w:val="20"/>
      <w:szCs w:val="20"/>
      <w:lang w:eastAsia="it-IT"/>
    </w:rPr>
  </w:style>
  <w:style w:type="character" w:customStyle="1" w:styleId="FootnoteTextChar">
    <w:name w:val="Footnote Text Char"/>
    <w:basedOn w:val="DefaultParagraphFont"/>
    <w:link w:val="FootnoteText"/>
    <w:rsid w:val="00CA7A69"/>
    <w:rPr>
      <w:rFonts w:ascii="Times New Roman" w:eastAsia="Times New Roman" w:hAnsi="Times New Roman" w:cs="Times New Roman"/>
      <w:sz w:val="20"/>
      <w:szCs w:val="20"/>
      <w:lang w:eastAsia="it-IT"/>
    </w:rPr>
  </w:style>
  <w:style w:type="character" w:styleId="FootnoteReference">
    <w:name w:val="footnote reference"/>
    <w:basedOn w:val="DefaultParagraphFont"/>
    <w:rsid w:val="00CA7A69"/>
    <w:rPr>
      <w:vertAlign w:val="superscript"/>
    </w:rPr>
  </w:style>
  <w:style w:type="table" w:styleId="TableGrid">
    <w:name w:val="Table Grid"/>
    <w:basedOn w:val="TableNormal"/>
    <w:uiPriority w:val="39"/>
    <w:rsid w:val="00CA7A69"/>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daFig">
    <w:name w:val="DidaFig"/>
    <w:basedOn w:val="Normal"/>
    <w:qFormat/>
    <w:rsid w:val="00CA7A69"/>
    <w:pPr>
      <w:spacing w:before="120" w:after="240" w:line="240" w:lineRule="auto"/>
      <w:jc w:val="center"/>
    </w:pPr>
    <w:rPr>
      <w:rFonts w:ascii="Times New Roman" w:eastAsia="Calibri" w:hAnsi="Times New Roman" w:cs="Times New Roman"/>
      <w:b/>
      <w:bCs/>
      <w:sz w:val="20"/>
      <w:szCs w:val="20"/>
      <w:lang w:eastAsia="it-IT"/>
    </w:rPr>
  </w:style>
  <w:style w:type="paragraph" w:customStyle="1" w:styleId="DidaTab">
    <w:name w:val="DidaTab"/>
    <w:basedOn w:val="Caption"/>
    <w:qFormat/>
    <w:rsid w:val="00CA7A69"/>
    <w:pPr>
      <w:keepNext/>
      <w:spacing w:before="120" w:after="0"/>
    </w:pPr>
    <w:rPr>
      <w:sz w:val="20"/>
    </w:rPr>
  </w:style>
  <w:style w:type="paragraph" w:customStyle="1" w:styleId="SommarioIllustraz">
    <w:name w:val="Sommario_Illustraz"/>
    <w:basedOn w:val="TOC1"/>
    <w:qFormat/>
    <w:rsid w:val="00CA7A69"/>
    <w:rPr>
      <w:b/>
    </w:rPr>
  </w:style>
  <w:style w:type="character" w:styleId="Strong">
    <w:name w:val="Strong"/>
    <w:basedOn w:val="DefaultParagraphFont"/>
    <w:uiPriority w:val="22"/>
    <w:qFormat/>
    <w:rsid w:val="00CA7A69"/>
    <w:rPr>
      <w:b/>
      <w:bCs/>
    </w:rPr>
  </w:style>
  <w:style w:type="character" w:styleId="HTMLCite">
    <w:name w:val="HTML Cite"/>
    <w:basedOn w:val="DefaultParagraphFont"/>
    <w:uiPriority w:val="99"/>
    <w:unhideWhenUsed/>
    <w:rsid w:val="00CA7A69"/>
    <w:rPr>
      <w:i w:val="0"/>
      <w:iCs w:val="0"/>
      <w:color w:val="388222"/>
    </w:rPr>
  </w:style>
  <w:style w:type="character" w:styleId="PlaceholderText">
    <w:name w:val="Placeholder Text"/>
    <w:basedOn w:val="DefaultParagraphFont"/>
    <w:uiPriority w:val="99"/>
    <w:semiHidden/>
    <w:rsid w:val="00CA7A69"/>
    <w:rPr>
      <w:color w:val="808080"/>
    </w:rPr>
  </w:style>
  <w:style w:type="paragraph" w:customStyle="1" w:styleId="ReferenceBiblioIT">
    <w:name w:val="Reference Biblio IT"/>
    <w:basedOn w:val="ReferenceBiblioUK"/>
    <w:qFormat/>
    <w:rsid w:val="00CA7A69"/>
    <w:pPr>
      <w:jc w:val="left"/>
    </w:pPr>
    <w:rPr>
      <w:lang w:val="it-IT"/>
    </w:rPr>
  </w:style>
  <w:style w:type="paragraph" w:customStyle="1" w:styleId="Equatio">
    <w:name w:val="Equatio"/>
    <w:basedOn w:val="Normal"/>
    <w:qFormat/>
    <w:rsid w:val="00CA7A69"/>
    <w:pPr>
      <w:tabs>
        <w:tab w:val="center" w:pos="3969"/>
        <w:tab w:val="right" w:pos="7938"/>
      </w:tabs>
      <w:spacing w:before="120" w:after="120" w:line="360" w:lineRule="auto"/>
      <w:jc w:val="center"/>
    </w:pPr>
    <w:rPr>
      <w:rFonts w:ascii="Times New Roman" w:eastAsia="Times New Roman" w:hAnsi="Times New Roman" w:cs="Times New Roman"/>
      <w:sz w:val="24"/>
      <w:szCs w:val="20"/>
      <w:lang w:eastAsia="it-IT"/>
    </w:rPr>
  </w:style>
  <w:style w:type="paragraph" w:styleId="EndnoteText">
    <w:name w:val="endnote text"/>
    <w:basedOn w:val="Normal"/>
    <w:link w:val="EndnoteTextChar"/>
    <w:uiPriority w:val="99"/>
    <w:unhideWhenUsed/>
    <w:rsid w:val="00CA7A69"/>
    <w:pPr>
      <w:spacing w:after="0" w:line="36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CA7A69"/>
    <w:rPr>
      <w:rFonts w:ascii="Calibri" w:eastAsia="Calibri" w:hAnsi="Calibri" w:cs="Times New Roman"/>
      <w:sz w:val="20"/>
      <w:szCs w:val="20"/>
    </w:rPr>
  </w:style>
  <w:style w:type="character" w:styleId="EndnoteReference">
    <w:name w:val="endnote reference"/>
    <w:basedOn w:val="DefaultParagraphFont"/>
    <w:uiPriority w:val="99"/>
    <w:unhideWhenUsed/>
    <w:rsid w:val="00CA7A69"/>
    <w:rPr>
      <w:vertAlign w:val="superscript"/>
    </w:rPr>
  </w:style>
  <w:style w:type="table" w:customStyle="1" w:styleId="Sfondochiaro-Colore11">
    <w:name w:val="Sfondo chiaro - Colore 11"/>
    <w:basedOn w:val="TableNormal"/>
    <w:uiPriority w:val="60"/>
    <w:rsid w:val="00CA7A69"/>
    <w:pPr>
      <w:spacing w:after="0" w:line="240" w:lineRule="auto"/>
    </w:pPr>
    <w:rPr>
      <w:rFonts w:ascii="Calibri" w:eastAsia="Calibri" w:hAnsi="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1">
    <w:name w:val="Griglia tabella1"/>
    <w:basedOn w:val="TableNormal"/>
    <w:next w:val="TableGrid"/>
    <w:uiPriority w:val="39"/>
    <w:rsid w:val="00CA7A6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7A69"/>
    <w:pPr>
      <w:autoSpaceDE w:val="0"/>
      <w:autoSpaceDN w:val="0"/>
      <w:adjustRightInd w:val="0"/>
      <w:spacing w:after="0" w:line="240" w:lineRule="auto"/>
    </w:pPr>
    <w:rPr>
      <w:rFonts w:ascii="Arial" w:eastAsia="Times New Roman" w:hAnsi="Arial" w:cs="Arial"/>
      <w:color w:val="000000"/>
      <w:sz w:val="24"/>
      <w:szCs w:val="24"/>
      <w:lang w:eastAsia="zh-TW"/>
    </w:rPr>
  </w:style>
  <w:style w:type="paragraph" w:customStyle="1" w:styleId="NormaleTabella">
    <w:name w:val="NormaleTabella"/>
    <w:basedOn w:val="Normal"/>
    <w:qFormat/>
    <w:rsid w:val="00CA7A69"/>
    <w:pPr>
      <w:widowControl w:val="0"/>
      <w:spacing w:after="0" w:line="240" w:lineRule="auto"/>
      <w:jc w:val="both"/>
    </w:pPr>
    <w:rPr>
      <w:rFonts w:ascii="Times New Roman" w:eastAsia="Times New Roman" w:hAnsi="Times New Roman" w:cs="Times New Roman"/>
      <w:sz w:val="20"/>
      <w:szCs w:val="20"/>
      <w:lang w:eastAsia="zh-TW"/>
    </w:rPr>
  </w:style>
  <w:style w:type="character" w:styleId="CommentReference">
    <w:name w:val="annotation reference"/>
    <w:basedOn w:val="DefaultParagraphFont"/>
    <w:uiPriority w:val="99"/>
    <w:rsid w:val="00CA7A69"/>
    <w:rPr>
      <w:sz w:val="16"/>
      <w:szCs w:val="16"/>
    </w:rPr>
  </w:style>
  <w:style w:type="paragraph" w:styleId="CommentText">
    <w:name w:val="annotation text"/>
    <w:basedOn w:val="Normal"/>
    <w:link w:val="CommentTextChar"/>
    <w:uiPriority w:val="99"/>
    <w:rsid w:val="00CA7A69"/>
    <w:pPr>
      <w:spacing w:after="0" w:line="240" w:lineRule="auto"/>
      <w:jc w:val="both"/>
    </w:pPr>
    <w:rPr>
      <w:rFonts w:ascii="Times New Roman" w:eastAsia="Times New Roman" w:hAnsi="Times New Roman" w:cs="Times New Roman"/>
      <w:sz w:val="20"/>
      <w:szCs w:val="20"/>
      <w:lang w:eastAsia="it-IT"/>
    </w:rPr>
  </w:style>
  <w:style w:type="character" w:customStyle="1" w:styleId="CommentTextChar">
    <w:name w:val="Comment Text Char"/>
    <w:basedOn w:val="DefaultParagraphFont"/>
    <w:link w:val="CommentText"/>
    <w:uiPriority w:val="99"/>
    <w:rsid w:val="00CA7A69"/>
    <w:rPr>
      <w:rFonts w:ascii="Times New Roman" w:eastAsia="Times New Roman" w:hAnsi="Times New Roman" w:cs="Times New Roman"/>
      <w:sz w:val="20"/>
      <w:szCs w:val="20"/>
      <w:lang w:eastAsia="it-IT"/>
    </w:rPr>
  </w:style>
  <w:style w:type="paragraph" w:styleId="CommentSubject">
    <w:name w:val="annotation subject"/>
    <w:basedOn w:val="CommentText"/>
    <w:next w:val="CommentText"/>
    <w:link w:val="CommentSubjectChar"/>
    <w:uiPriority w:val="99"/>
    <w:rsid w:val="00CA7A69"/>
    <w:rPr>
      <w:b/>
      <w:bCs/>
    </w:rPr>
  </w:style>
  <w:style w:type="character" w:customStyle="1" w:styleId="CommentSubjectChar">
    <w:name w:val="Comment Subject Char"/>
    <w:basedOn w:val="CommentTextChar"/>
    <w:link w:val="CommentSubject"/>
    <w:uiPriority w:val="99"/>
    <w:rsid w:val="00CA7A69"/>
    <w:rPr>
      <w:rFonts w:ascii="Times New Roman" w:eastAsia="Times New Roman" w:hAnsi="Times New Roman" w:cs="Times New Roman"/>
      <w:b/>
      <w:bCs/>
      <w:sz w:val="20"/>
      <w:szCs w:val="20"/>
      <w:lang w:eastAsia="it-IT"/>
    </w:rPr>
  </w:style>
  <w:style w:type="character" w:customStyle="1" w:styleId="unicode">
    <w:name w:val="unicode"/>
    <w:basedOn w:val="DefaultParagraphFont"/>
    <w:rsid w:val="00CA7A69"/>
  </w:style>
  <w:style w:type="character" w:customStyle="1" w:styleId="voceconnessa">
    <w:name w:val="voceconnessa"/>
    <w:basedOn w:val="DefaultParagraphFont"/>
    <w:rsid w:val="00CA7A69"/>
  </w:style>
  <w:style w:type="character" w:customStyle="1" w:styleId="rinvio">
    <w:name w:val="rinvio"/>
    <w:basedOn w:val="DefaultParagraphFont"/>
    <w:rsid w:val="00CA7A69"/>
  </w:style>
  <w:style w:type="paragraph" w:customStyle="1" w:styleId="Figura">
    <w:name w:val="Figura"/>
    <w:basedOn w:val="Normal"/>
    <w:qFormat/>
    <w:rsid w:val="00CA7A69"/>
    <w:pPr>
      <w:keepNext/>
      <w:spacing w:after="0" w:line="360" w:lineRule="auto"/>
      <w:ind w:left="-284"/>
      <w:jc w:val="center"/>
    </w:pPr>
    <w:rPr>
      <w:rFonts w:ascii="Calibri" w:eastAsia="Calibri" w:hAnsi="Calibri" w:cs="Times New Roman"/>
      <w:noProof/>
      <w:sz w:val="20"/>
      <w:szCs w:val="20"/>
      <w:lang w:eastAsia="it-IT"/>
    </w:rPr>
  </w:style>
  <w:style w:type="paragraph" w:customStyle="1" w:styleId="StileFontereferenzialeSinistro225cm">
    <w:name w:val="Stile Fonte referenziale + Sinistro:  225 cm"/>
    <w:basedOn w:val="Fontereferenziale"/>
    <w:rsid w:val="00CA7A69"/>
    <w:pPr>
      <w:keepNext/>
      <w:ind w:left="1276"/>
    </w:pPr>
    <w:rPr>
      <w:iCs/>
      <w:szCs w:val="20"/>
    </w:rPr>
  </w:style>
  <w:style w:type="paragraph" w:customStyle="1" w:styleId="Noteallafigura">
    <w:name w:val="Note alla figura"/>
    <w:basedOn w:val="DidaFig"/>
    <w:qFormat/>
    <w:rsid w:val="00CA7A69"/>
    <w:pPr>
      <w:keepNext/>
      <w:jc w:val="both"/>
    </w:pPr>
    <w:rPr>
      <w:b w:val="0"/>
      <w:i/>
      <w:sz w:val="18"/>
    </w:rPr>
  </w:style>
  <w:style w:type="character" w:customStyle="1" w:styleId="Collegamentovisitato1">
    <w:name w:val="Collegamento visitato1"/>
    <w:basedOn w:val="DefaultParagraphFont"/>
    <w:uiPriority w:val="99"/>
    <w:semiHidden/>
    <w:unhideWhenUsed/>
    <w:rsid w:val="00CA7A69"/>
    <w:rPr>
      <w:color w:val="800080"/>
      <w:u w:val="single"/>
    </w:rPr>
  </w:style>
  <w:style w:type="paragraph" w:customStyle="1" w:styleId="msonormal0">
    <w:name w:val="msonormal"/>
    <w:basedOn w:val="Normal"/>
    <w:rsid w:val="00CA7A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uiPriority w:val="99"/>
    <w:semiHidden/>
    <w:rsid w:val="00CA7A69"/>
    <w:pPr>
      <w:spacing w:after="0" w:line="240" w:lineRule="auto"/>
    </w:pPr>
    <w:rPr>
      <w:rFonts w:ascii="Times New Roman" w:eastAsia="Times New Roman" w:hAnsi="Times New Roman" w:cs="Times New Roman"/>
      <w:color w:val="000000"/>
      <w:sz w:val="24"/>
      <w:szCs w:val="20"/>
      <w:lang w:val="en-US" w:eastAsia="de-DE"/>
    </w:rPr>
  </w:style>
  <w:style w:type="paragraph" w:customStyle="1" w:styleId="MDPI31text">
    <w:name w:val="MDPI_3.1_text"/>
    <w:qFormat/>
    <w:rsid w:val="00CA7A69"/>
    <w:pPr>
      <w:adjustRightInd w:val="0"/>
      <w:snapToGrid w:val="0"/>
      <w:spacing w:after="0" w:line="260" w:lineRule="atLeast"/>
      <w:ind w:firstLine="425"/>
      <w:jc w:val="both"/>
    </w:pPr>
    <w:rPr>
      <w:rFonts w:ascii="Palatino Linotype" w:eastAsia="Times New Roman" w:hAnsi="Palatino Linotype" w:cs="Times New Roman"/>
      <w:color w:val="000000"/>
      <w:sz w:val="20"/>
      <w:lang w:val="en-US" w:eastAsia="de-DE" w:bidi="en-US"/>
    </w:rPr>
  </w:style>
  <w:style w:type="paragraph" w:customStyle="1" w:styleId="MDPI13authornames">
    <w:name w:val="MDPI_1.3_authornames"/>
    <w:basedOn w:val="MDPI31text"/>
    <w:next w:val="MDPI14history"/>
    <w:qFormat/>
    <w:rsid w:val="00CA7A69"/>
    <w:pPr>
      <w:spacing w:after="120"/>
      <w:ind w:firstLine="0"/>
      <w:jc w:val="left"/>
    </w:pPr>
    <w:rPr>
      <w:b/>
    </w:rPr>
  </w:style>
  <w:style w:type="paragraph" w:customStyle="1" w:styleId="MDPI12title">
    <w:name w:val="MDPI_1.2_title"/>
    <w:next w:val="MDPI13authornames"/>
    <w:qFormat/>
    <w:rsid w:val="00CA7A69"/>
    <w:pPr>
      <w:adjustRightInd w:val="0"/>
      <w:snapToGrid w:val="0"/>
      <w:spacing w:after="240" w:line="400" w:lineRule="exact"/>
    </w:pPr>
    <w:rPr>
      <w:rFonts w:ascii="Palatino Linotype" w:eastAsia="Times New Roman" w:hAnsi="Palatino Linotype" w:cs="Times New Roman"/>
      <w:b/>
      <w:color w:val="000000"/>
      <w:sz w:val="36"/>
      <w:szCs w:val="20"/>
      <w:lang w:val="en-US" w:eastAsia="de-DE" w:bidi="en-US"/>
    </w:rPr>
  </w:style>
  <w:style w:type="paragraph" w:customStyle="1" w:styleId="MDPI14history">
    <w:name w:val="MDPI_1.4_history"/>
    <w:basedOn w:val="MDPI62Acknowledgments"/>
    <w:next w:val="Normal"/>
    <w:qFormat/>
    <w:rsid w:val="00CA7A69"/>
    <w:pPr>
      <w:ind w:left="113"/>
      <w:jc w:val="left"/>
    </w:pPr>
  </w:style>
  <w:style w:type="paragraph" w:customStyle="1" w:styleId="MDPI62Acknowledgments">
    <w:name w:val="MDPI_6.2_Acknowledgments"/>
    <w:qFormat/>
    <w:rsid w:val="00CA7A69"/>
    <w:pPr>
      <w:adjustRightInd w:val="0"/>
      <w:snapToGrid w:val="0"/>
      <w:spacing w:before="120" w:after="0" w:line="200" w:lineRule="atLeast"/>
      <w:jc w:val="both"/>
    </w:pPr>
    <w:rPr>
      <w:rFonts w:ascii="Palatino Linotype" w:eastAsia="Times New Roman" w:hAnsi="Palatino Linotype" w:cs="Times New Roman"/>
      <w:color w:val="000000"/>
      <w:sz w:val="18"/>
      <w:szCs w:val="20"/>
      <w:lang w:val="en-US" w:eastAsia="de-DE" w:bidi="en-US"/>
    </w:rPr>
  </w:style>
  <w:style w:type="paragraph" w:customStyle="1" w:styleId="MDPI16affiliation">
    <w:name w:val="MDPI_1.6_affiliation"/>
    <w:basedOn w:val="MDPI62Acknowledgments"/>
    <w:qFormat/>
    <w:rsid w:val="00CA7A69"/>
    <w:pPr>
      <w:spacing w:before="0"/>
      <w:ind w:left="311" w:hanging="198"/>
      <w:jc w:val="left"/>
    </w:pPr>
    <w:rPr>
      <w:szCs w:val="18"/>
    </w:rPr>
  </w:style>
  <w:style w:type="paragraph" w:customStyle="1" w:styleId="MDPI18keywords">
    <w:name w:val="MDPI_1.8_keywords"/>
    <w:basedOn w:val="MDPI31text"/>
    <w:next w:val="Normal"/>
    <w:qFormat/>
    <w:rsid w:val="00CA7A69"/>
    <w:pPr>
      <w:spacing w:before="240"/>
      <w:ind w:left="113" w:firstLine="0"/>
    </w:pPr>
  </w:style>
  <w:style w:type="paragraph" w:customStyle="1" w:styleId="MDPI17abstract">
    <w:name w:val="MDPI_1.7_abstract"/>
    <w:basedOn w:val="MDPI31text"/>
    <w:next w:val="MDPI18keywords"/>
    <w:qFormat/>
    <w:rsid w:val="00CA7A69"/>
    <w:pPr>
      <w:spacing w:before="240"/>
      <w:ind w:left="113" w:firstLine="0"/>
    </w:pPr>
  </w:style>
  <w:style w:type="paragraph" w:customStyle="1" w:styleId="MDPI19line">
    <w:name w:val="MDPI_1.9_line"/>
    <w:basedOn w:val="MDPI31text"/>
    <w:qFormat/>
    <w:rsid w:val="00CA7A69"/>
    <w:pPr>
      <w:pBdr>
        <w:bottom w:val="single" w:sz="6" w:space="1" w:color="auto"/>
      </w:pBdr>
      <w:ind w:firstLine="0"/>
    </w:pPr>
    <w:rPr>
      <w:szCs w:val="24"/>
    </w:rPr>
  </w:style>
  <w:style w:type="paragraph" w:customStyle="1" w:styleId="MDPIheaderjournallogo">
    <w:name w:val="MDPI_header_journal_logo"/>
    <w:qFormat/>
    <w:rsid w:val="00CA7A69"/>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CA7A69"/>
    <w:pPr>
      <w:ind w:firstLine="0"/>
    </w:pPr>
  </w:style>
  <w:style w:type="paragraph" w:customStyle="1" w:styleId="MDPI33textspaceafter">
    <w:name w:val="MDPI_3.3_text_space_after"/>
    <w:basedOn w:val="MDPI31text"/>
    <w:qFormat/>
    <w:rsid w:val="00CA7A69"/>
    <w:pPr>
      <w:spacing w:after="240"/>
    </w:pPr>
  </w:style>
  <w:style w:type="paragraph" w:customStyle="1" w:styleId="MDPI34textspacebefore">
    <w:name w:val="MDPI_3.4_text_space_before"/>
    <w:basedOn w:val="MDPI31text"/>
    <w:qFormat/>
    <w:rsid w:val="00CA7A69"/>
    <w:pPr>
      <w:spacing w:before="240"/>
    </w:pPr>
  </w:style>
  <w:style w:type="paragraph" w:customStyle="1" w:styleId="MDPI35textbeforelist">
    <w:name w:val="MDPI_3.5_text_before_list"/>
    <w:basedOn w:val="MDPI31text"/>
    <w:qFormat/>
    <w:rsid w:val="00CA7A69"/>
    <w:pPr>
      <w:spacing w:after="120"/>
    </w:pPr>
  </w:style>
  <w:style w:type="paragraph" w:customStyle="1" w:styleId="MDPI36textafterlist">
    <w:name w:val="MDPI_3.6_text_after_list"/>
    <w:basedOn w:val="MDPI31text"/>
    <w:qFormat/>
    <w:rsid w:val="00CA7A69"/>
    <w:pPr>
      <w:spacing w:before="120"/>
    </w:pPr>
  </w:style>
  <w:style w:type="paragraph" w:customStyle="1" w:styleId="MDPI37itemize">
    <w:name w:val="MDPI_3.7_itemize"/>
    <w:basedOn w:val="MDPI31text"/>
    <w:qFormat/>
    <w:rsid w:val="00CA7A69"/>
    <w:pPr>
      <w:numPr>
        <w:numId w:val="1"/>
      </w:numPr>
      <w:ind w:left="425" w:hanging="425"/>
    </w:pPr>
  </w:style>
  <w:style w:type="paragraph" w:customStyle="1" w:styleId="MDPI38bullet">
    <w:name w:val="MDPI_3.8_bullet"/>
    <w:basedOn w:val="MDPI31text"/>
    <w:qFormat/>
    <w:rsid w:val="00CA7A69"/>
    <w:pPr>
      <w:numPr>
        <w:numId w:val="2"/>
      </w:numPr>
      <w:ind w:left="425" w:hanging="425"/>
    </w:pPr>
  </w:style>
  <w:style w:type="paragraph" w:customStyle="1" w:styleId="MDPI39equation">
    <w:name w:val="MDPI_3.9_equation"/>
    <w:basedOn w:val="MDPI31text"/>
    <w:qFormat/>
    <w:rsid w:val="00CA7A69"/>
    <w:pPr>
      <w:spacing w:before="120" w:after="120"/>
      <w:ind w:left="709" w:firstLine="0"/>
      <w:jc w:val="center"/>
    </w:pPr>
  </w:style>
  <w:style w:type="paragraph" w:customStyle="1" w:styleId="MDPI3aequationnumber">
    <w:name w:val="MDPI_3.a_equation_number"/>
    <w:basedOn w:val="MDPI31text"/>
    <w:qFormat/>
    <w:rsid w:val="00CA7A69"/>
    <w:pPr>
      <w:spacing w:before="120" w:after="120" w:line="240" w:lineRule="auto"/>
      <w:ind w:firstLine="0"/>
      <w:jc w:val="right"/>
    </w:pPr>
  </w:style>
  <w:style w:type="paragraph" w:customStyle="1" w:styleId="MDPI41tablecaption">
    <w:name w:val="MDPI_4.1_table_caption"/>
    <w:basedOn w:val="MDPI62Acknowledgments"/>
    <w:qFormat/>
    <w:rsid w:val="00CA7A69"/>
    <w:pPr>
      <w:spacing w:before="240" w:after="120" w:line="260" w:lineRule="atLeast"/>
      <w:ind w:left="425" w:right="425"/>
    </w:pPr>
    <w:rPr>
      <w:szCs w:val="22"/>
    </w:rPr>
  </w:style>
  <w:style w:type="paragraph" w:customStyle="1" w:styleId="MDPI42tablebody">
    <w:name w:val="MDPI_4.2_table_body"/>
    <w:qFormat/>
    <w:rsid w:val="00CA7A69"/>
    <w:pPr>
      <w:adjustRightInd w:val="0"/>
      <w:snapToGrid w:val="0"/>
      <w:spacing w:after="0" w:line="260" w:lineRule="atLeast"/>
      <w:jc w:val="center"/>
    </w:pPr>
    <w:rPr>
      <w:rFonts w:ascii="Palatino Linotype" w:eastAsia="Times New Roman" w:hAnsi="Palatino Linotype" w:cs="Times New Roman"/>
      <w:color w:val="000000"/>
      <w:sz w:val="20"/>
      <w:szCs w:val="20"/>
      <w:lang w:val="en-US" w:eastAsia="de-DE" w:bidi="en-US"/>
    </w:rPr>
  </w:style>
  <w:style w:type="paragraph" w:customStyle="1" w:styleId="MDPI43tablefooter">
    <w:name w:val="MDPI_4.3_table_footer"/>
    <w:basedOn w:val="MDPI41tablecaption"/>
    <w:next w:val="MDPI31text"/>
    <w:qFormat/>
    <w:rsid w:val="00CA7A69"/>
    <w:pPr>
      <w:spacing w:before="0"/>
      <w:ind w:left="0" w:right="0"/>
    </w:pPr>
  </w:style>
  <w:style w:type="paragraph" w:customStyle="1" w:styleId="MDPI51figurecaption">
    <w:name w:val="MDPI_5.1_figure_caption"/>
    <w:basedOn w:val="MDPI62Acknowledgments"/>
    <w:qFormat/>
    <w:rsid w:val="00CA7A69"/>
    <w:pPr>
      <w:spacing w:after="240" w:line="260" w:lineRule="atLeast"/>
      <w:ind w:left="425" w:right="425"/>
    </w:pPr>
  </w:style>
  <w:style w:type="paragraph" w:customStyle="1" w:styleId="MDPI52figure">
    <w:name w:val="MDPI_5.2_figure"/>
    <w:qFormat/>
    <w:rsid w:val="00CA7A69"/>
    <w:pPr>
      <w:snapToGrid w:val="0"/>
      <w:spacing w:after="0" w:line="240" w:lineRule="auto"/>
      <w:jc w:val="center"/>
    </w:pPr>
    <w:rPr>
      <w:rFonts w:ascii="Palatino Linotype" w:eastAsia="Times New Roman" w:hAnsi="Palatino Linotype" w:cs="Times New Roman"/>
      <w:color w:val="000000"/>
      <w:sz w:val="24"/>
      <w:szCs w:val="20"/>
      <w:lang w:val="en-US" w:eastAsia="de-DE" w:bidi="en-US"/>
    </w:rPr>
  </w:style>
  <w:style w:type="paragraph" w:customStyle="1" w:styleId="MDPI61Supplementary">
    <w:name w:val="MDPI_6.1_Supplementary"/>
    <w:basedOn w:val="MDPI62Acknowledgments"/>
    <w:qFormat/>
    <w:rsid w:val="00CA7A69"/>
    <w:pPr>
      <w:spacing w:before="240"/>
    </w:pPr>
    <w:rPr>
      <w:lang w:eastAsia="en-US"/>
    </w:rPr>
  </w:style>
  <w:style w:type="paragraph" w:customStyle="1" w:styleId="MDPI63AuthorContributions">
    <w:name w:val="MDPI_6.3_AuthorContributions"/>
    <w:basedOn w:val="MDPI62Acknowledgments"/>
    <w:qFormat/>
    <w:rsid w:val="00CA7A69"/>
    <w:rPr>
      <w:rFonts w:eastAsia="SimSun"/>
      <w:color w:val="auto"/>
      <w:lang w:eastAsia="en-US"/>
    </w:rPr>
  </w:style>
  <w:style w:type="paragraph" w:customStyle="1" w:styleId="MDPI64CoI">
    <w:name w:val="MDPI_6.4_CoI"/>
    <w:basedOn w:val="MDPI62Acknowledgments"/>
    <w:qFormat/>
    <w:rsid w:val="00CA7A69"/>
  </w:style>
  <w:style w:type="paragraph" w:customStyle="1" w:styleId="MDPI81theorem">
    <w:name w:val="MDPI_8.1_theorem"/>
    <w:basedOn w:val="MDPI32textnoindent"/>
    <w:qFormat/>
    <w:rsid w:val="00CA7A69"/>
  </w:style>
  <w:style w:type="paragraph" w:customStyle="1" w:styleId="MDPI82proof">
    <w:name w:val="MDPI_8.2_proof"/>
    <w:basedOn w:val="MDPI32textnoindent"/>
    <w:qFormat/>
    <w:rsid w:val="00CA7A69"/>
  </w:style>
  <w:style w:type="paragraph" w:customStyle="1" w:styleId="MDPIfooterfirstpage">
    <w:name w:val="MDPI_footer_firstpage"/>
    <w:basedOn w:val="Normal"/>
    <w:qFormat/>
    <w:rsid w:val="00CA7A69"/>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CA7A69"/>
    <w:pPr>
      <w:spacing w:before="240" w:after="120"/>
      <w:ind w:left="840" w:firstLine="0"/>
      <w:jc w:val="left"/>
      <w:outlineLvl w:val="2"/>
    </w:pPr>
    <w:rPr>
      <w:b/>
    </w:rPr>
  </w:style>
  <w:style w:type="paragraph" w:customStyle="1" w:styleId="MDPI21heading1">
    <w:name w:val="MDPI_2.1_heading1"/>
    <w:basedOn w:val="MDPI23heading3"/>
    <w:qFormat/>
    <w:rsid w:val="00CA7A69"/>
    <w:pPr>
      <w:ind w:left="0"/>
      <w:outlineLvl w:val="0"/>
    </w:pPr>
  </w:style>
  <w:style w:type="paragraph" w:customStyle="1" w:styleId="MDPI22heading2">
    <w:name w:val="MDPI_2.2_heading2"/>
    <w:basedOn w:val="Normal"/>
    <w:qFormat/>
    <w:rsid w:val="00CA7A69"/>
    <w:pPr>
      <w:kinsoku w:val="0"/>
      <w:overflowPunct w:val="0"/>
      <w:autoSpaceDE w:val="0"/>
      <w:autoSpaceDN w:val="0"/>
      <w:adjustRightInd w:val="0"/>
      <w:snapToGrid w:val="0"/>
      <w:spacing w:before="240" w:after="120" w:line="260" w:lineRule="atLeast"/>
      <w:ind w:left="420"/>
      <w:outlineLvl w:val="1"/>
    </w:pPr>
    <w:rPr>
      <w:rFonts w:ascii="Palatino Linotype" w:eastAsia="Times New Roman" w:hAnsi="Palatino Linotype" w:cs="Times New Roman"/>
      <w:b/>
      <w:i/>
      <w:noProof/>
      <w:color w:val="000000"/>
      <w:sz w:val="20"/>
      <w:lang w:val="en-US" w:eastAsia="de-DE" w:bidi="en-US"/>
    </w:rPr>
  </w:style>
  <w:style w:type="paragraph" w:customStyle="1" w:styleId="MDPI71References">
    <w:name w:val="MDPI_7.1_References"/>
    <w:basedOn w:val="MDPI62Acknowledgments"/>
    <w:qFormat/>
    <w:rsid w:val="00CA7A69"/>
    <w:pPr>
      <w:numPr>
        <w:numId w:val="3"/>
      </w:numPr>
      <w:spacing w:before="0" w:line="260" w:lineRule="atLeast"/>
      <w:ind w:left="425" w:hanging="425"/>
    </w:pPr>
  </w:style>
  <w:style w:type="paragraph" w:customStyle="1" w:styleId="MDPI74PublishersNote">
    <w:name w:val="MDPI_7.4_Publisher'sNote"/>
    <w:qFormat/>
    <w:rsid w:val="00CA7A69"/>
    <w:pPr>
      <w:adjustRightInd w:val="0"/>
      <w:snapToGrid w:val="0"/>
      <w:spacing w:before="240" w:after="240" w:line="200" w:lineRule="atLeast"/>
    </w:pPr>
    <w:rPr>
      <w:rFonts w:ascii="Palatino Linotype" w:eastAsia="SimSun" w:hAnsi="Palatino Linotype" w:cs="Times New Roman"/>
      <w:sz w:val="18"/>
      <w:lang w:val="en-US" w:eastAsia="zh-CN"/>
    </w:rPr>
  </w:style>
  <w:style w:type="character" w:customStyle="1" w:styleId="Menzionenonrisolta1">
    <w:name w:val="Menzione non risolta1"/>
    <w:uiPriority w:val="99"/>
    <w:semiHidden/>
    <w:rsid w:val="00CA7A69"/>
    <w:rPr>
      <w:color w:val="605E5C"/>
      <w:shd w:val="clear" w:color="auto" w:fill="E1DFDD"/>
    </w:rPr>
  </w:style>
  <w:style w:type="character" w:customStyle="1" w:styleId="Menzionenonrisolta2">
    <w:name w:val="Menzione non risolta2"/>
    <w:basedOn w:val="DefaultParagraphFont"/>
    <w:uiPriority w:val="99"/>
    <w:semiHidden/>
    <w:rsid w:val="00CA7A69"/>
    <w:rPr>
      <w:color w:val="605E5C"/>
      <w:shd w:val="clear" w:color="auto" w:fill="E1DFDD"/>
    </w:rPr>
  </w:style>
  <w:style w:type="table" w:styleId="PlainTable4">
    <w:name w:val="Plain Table 4"/>
    <w:basedOn w:val="TableNormal"/>
    <w:uiPriority w:val="44"/>
    <w:rsid w:val="00CA7A69"/>
    <w:pPr>
      <w:spacing w:after="0" w:line="240" w:lineRule="auto"/>
    </w:pPr>
    <w:rPr>
      <w:rFonts w:ascii="Calibri" w:eastAsia="SimSun" w:hAnsi="Calibri" w:cs="Times New Roman"/>
      <w:sz w:val="20"/>
      <w:szCs w:val="20"/>
      <w:lang w:eastAsia="it-IT"/>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MDPI41threelinetable">
    <w:name w:val="MDPI_4.1_three_line_table"/>
    <w:basedOn w:val="TableNormal"/>
    <w:uiPriority w:val="99"/>
    <w:rsid w:val="00CA7A69"/>
    <w:pPr>
      <w:adjustRightInd w:val="0"/>
      <w:snapToGrid w:val="0"/>
      <w:spacing w:after="0" w:line="240" w:lineRule="auto"/>
      <w:jc w:val="center"/>
    </w:pPr>
    <w:rPr>
      <w:rFonts w:ascii="Palatino Linotype" w:eastAsia="SimSun" w:hAnsi="Palatino Linotype" w:cs="Calibri"/>
      <w:color w:val="000000"/>
      <w:sz w:val="20"/>
      <w:szCs w:val="20"/>
      <w:lang w:eastAsia="it-IT"/>
    </w:rPr>
    <w:tblPr>
      <w:tblInd w:w="0" w:type="nil"/>
      <w:tblBorders>
        <w:top w:val="single" w:sz="8" w:space="0" w:color="auto"/>
        <w:bottom w:val="single" w:sz="8" w:space="0" w:color="auto"/>
      </w:tblBorders>
    </w:tblPr>
    <w:tcPr>
      <w:vAlign w:val="center"/>
    </w:tcPr>
    <w:tblStylePr w:type="firstRow">
      <w:rPr>
        <w:rFonts w:ascii="Calibri Light" w:hAnsi="Calibri Light" w:cs="Calibri Light" w:hint="default"/>
        <w:b/>
        <w:i w:val="0"/>
        <w:sz w:val="20"/>
        <w:szCs w:val="20"/>
      </w:rPr>
      <w:tblPr/>
      <w:tcPr>
        <w:tcBorders>
          <w:bottom w:val="single" w:sz="4" w:space="0" w:color="auto"/>
        </w:tcBorders>
      </w:tcPr>
    </w:tblStylePr>
  </w:style>
  <w:style w:type="table" w:customStyle="1" w:styleId="MDPITable">
    <w:name w:val="MDPI_Table"/>
    <w:basedOn w:val="TableNormal"/>
    <w:uiPriority w:val="99"/>
    <w:rsid w:val="00CA7A69"/>
    <w:pPr>
      <w:spacing w:after="0" w:line="240" w:lineRule="auto"/>
    </w:pPr>
    <w:rPr>
      <w:rFonts w:ascii="Palatino Linotype" w:eastAsia="SimSun" w:hAnsi="Palatino Linotype" w:cs="Calibri"/>
      <w:color w:val="000000"/>
      <w:sz w:val="20"/>
      <w:szCs w:val="20"/>
      <w:lang w:val="en-CA"/>
    </w:rPr>
    <w:tblPr>
      <w:tblInd w:w="0" w:type="nil"/>
      <w:tblCellMar>
        <w:left w:w="0" w:type="dxa"/>
        <w:right w:w="0" w:type="dxa"/>
      </w:tblCellMar>
    </w:tblPr>
  </w:style>
  <w:style w:type="paragraph" w:customStyle="1" w:styleId="MDPI11articletype">
    <w:name w:val="MDPI_1.1_article_type"/>
    <w:basedOn w:val="MDPI31text"/>
    <w:next w:val="MDPI12title"/>
    <w:qFormat/>
    <w:rsid w:val="00CA7A69"/>
    <w:pPr>
      <w:spacing w:before="240" w:line="240" w:lineRule="auto"/>
      <w:ind w:firstLine="0"/>
      <w:jc w:val="left"/>
    </w:pPr>
    <w:rPr>
      <w:i/>
    </w:rPr>
  </w:style>
  <w:style w:type="table" w:customStyle="1" w:styleId="Grigliatabella3">
    <w:name w:val="Griglia tabella3"/>
    <w:basedOn w:val="TableNormal"/>
    <w:next w:val="TableGrid"/>
    <w:uiPriority w:val="39"/>
    <w:rsid w:val="00CA7A6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leNormal"/>
    <w:next w:val="TableGrid"/>
    <w:uiPriority w:val="39"/>
    <w:rsid w:val="00CA7A69"/>
    <w:pPr>
      <w:spacing w:after="0" w:line="240" w:lineRule="auto"/>
    </w:pPr>
    <w:rPr>
      <w:rFonts w:ascii="Calibri" w:eastAsia="SimSun" w:hAnsi="Calibri" w:cs="Times New Roman"/>
      <w:sz w:val="20"/>
      <w:szCs w:val="20"/>
      <w:lang w:eastAsia="it-I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leNormal"/>
    <w:uiPriority w:val="39"/>
    <w:rsid w:val="00CA7A69"/>
    <w:pPr>
      <w:spacing w:after="0" w:line="260" w:lineRule="atLeast"/>
      <w:jc w:val="both"/>
    </w:pPr>
    <w:rPr>
      <w:rFonts w:ascii="Palatino Linotype" w:eastAsia="Times New Roman" w:hAnsi="Palatino Linotype" w:cs="Calibri"/>
      <w:color w:val="000000"/>
      <w:sz w:val="20"/>
      <w:szCs w:val="20"/>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essunelenco11">
    <w:name w:val="Nessun elenco11"/>
    <w:next w:val="NoList"/>
    <w:uiPriority w:val="99"/>
    <w:semiHidden/>
    <w:unhideWhenUsed/>
    <w:rsid w:val="00CA7A69"/>
  </w:style>
  <w:style w:type="character" w:customStyle="1" w:styleId="CaptionChar">
    <w:name w:val="Caption Char"/>
    <w:basedOn w:val="DefaultParagraphFont"/>
    <w:link w:val="Caption"/>
    <w:uiPriority w:val="35"/>
    <w:locked/>
    <w:rsid w:val="00CA7A69"/>
    <w:rPr>
      <w:rFonts w:ascii="Times New Roman" w:eastAsia="Times New Roman" w:hAnsi="Times New Roman" w:cs="Times New Roman"/>
      <w:b/>
      <w:bCs/>
      <w:sz w:val="24"/>
      <w:szCs w:val="20"/>
      <w:lang w:eastAsia="it-IT"/>
    </w:rPr>
  </w:style>
  <w:style w:type="paragraph" w:styleId="NoSpacing">
    <w:name w:val="No Spacing"/>
    <w:uiPriority w:val="1"/>
    <w:qFormat/>
    <w:rsid w:val="00CA7A69"/>
    <w:pPr>
      <w:spacing w:after="0" w:line="240" w:lineRule="auto"/>
      <w:ind w:left="357" w:firstLine="340"/>
      <w:jc w:val="both"/>
    </w:pPr>
    <w:rPr>
      <w:rFonts w:ascii="Cambria Math" w:eastAsia="Calibri" w:hAnsi="Cambria Math" w:cs="Times New Roman"/>
      <w:sz w:val="23"/>
    </w:rPr>
  </w:style>
  <w:style w:type="character" w:customStyle="1" w:styleId="eqdidasCarattere">
    <w:name w:val="eq didas Carattere"/>
    <w:basedOn w:val="CaptionChar"/>
    <w:link w:val="eqdidas"/>
    <w:locked/>
    <w:rsid w:val="00CA7A69"/>
    <w:rPr>
      <w:rFonts w:ascii="Cambria Math" w:eastAsia="Times New Roman" w:hAnsi="Cambria Math" w:cs="Times New Roman"/>
      <w:b/>
      <w:bCs/>
      <w:color w:val="44546A"/>
      <w:sz w:val="24"/>
      <w:szCs w:val="24"/>
      <w:lang w:eastAsia="it-IT"/>
    </w:rPr>
  </w:style>
  <w:style w:type="paragraph" w:customStyle="1" w:styleId="eqdidas">
    <w:name w:val="eq didas"/>
    <w:basedOn w:val="Caption"/>
    <w:link w:val="eqdidasCarattere"/>
    <w:rsid w:val="00CA7A69"/>
    <w:pPr>
      <w:tabs>
        <w:tab w:val="left" w:pos="7371"/>
      </w:tabs>
      <w:spacing w:after="200" w:line="240" w:lineRule="auto"/>
      <w:jc w:val="both"/>
    </w:pPr>
    <w:rPr>
      <w:rFonts w:ascii="Cambria Math" w:hAnsi="Cambria Math"/>
      <w:color w:val="44546A"/>
      <w:szCs w:val="24"/>
    </w:rPr>
  </w:style>
  <w:style w:type="character" w:customStyle="1" w:styleId="EquazioniCarattere">
    <w:name w:val="Equazioni Carattere"/>
    <w:basedOn w:val="eqdidasCarattere"/>
    <w:link w:val="Equazioni"/>
    <w:locked/>
    <w:rsid w:val="00CA7A69"/>
    <w:rPr>
      <w:rFonts w:ascii="Cambria Math" w:eastAsia="Times New Roman" w:hAnsi="Cambria Math" w:cs="Times New Roman"/>
      <w:b/>
      <w:bCs/>
      <w:color w:val="44546A"/>
      <w:sz w:val="24"/>
      <w:szCs w:val="24"/>
      <w:lang w:eastAsia="it-IT"/>
    </w:rPr>
  </w:style>
  <w:style w:type="paragraph" w:customStyle="1" w:styleId="Equazioni">
    <w:name w:val="Equazioni"/>
    <w:basedOn w:val="eqdidas"/>
    <w:link w:val="EquazioniCarattere"/>
    <w:rsid w:val="00CA7A69"/>
    <w:pPr>
      <w:tabs>
        <w:tab w:val="left" w:pos="2268"/>
      </w:tabs>
    </w:pPr>
  </w:style>
  <w:style w:type="character" w:customStyle="1" w:styleId="EquazionimatCarattere">
    <w:name w:val="Equazioni mat Carattere"/>
    <w:basedOn w:val="EquazioniCarattere"/>
    <w:link w:val="Equazionimat"/>
    <w:locked/>
    <w:rsid w:val="00CA7A69"/>
    <w:rPr>
      <w:rFonts w:ascii="Cambria Math" w:eastAsia="Times New Roman" w:hAnsi="Cambria Math" w:cs="Times New Roman"/>
      <w:b/>
      <w:bCs/>
      <w:color w:val="44546A"/>
      <w:sz w:val="24"/>
      <w:szCs w:val="24"/>
      <w:lang w:eastAsia="it-IT"/>
    </w:rPr>
  </w:style>
  <w:style w:type="paragraph" w:customStyle="1" w:styleId="Equazionimat">
    <w:name w:val="Equazioni mat"/>
    <w:basedOn w:val="Equazioni"/>
    <w:link w:val="EquazionimatCarattere"/>
    <w:qFormat/>
    <w:rsid w:val="00CA7A69"/>
    <w:pPr>
      <w:tabs>
        <w:tab w:val="clear" w:pos="2268"/>
        <w:tab w:val="left" w:pos="1985"/>
      </w:tabs>
    </w:pPr>
  </w:style>
  <w:style w:type="character" w:customStyle="1" w:styleId="Equazioni10Carattere">
    <w:name w:val="Equazioni 10 Carattere"/>
    <w:basedOn w:val="EquazionimatCarattere"/>
    <w:link w:val="Equazioni10"/>
    <w:locked/>
    <w:rsid w:val="00CA7A69"/>
    <w:rPr>
      <w:rFonts w:ascii="Cambria Math" w:eastAsia="Times New Roman" w:hAnsi="Cambria Math" w:cs="Times New Roman"/>
      <w:b/>
      <w:bCs/>
      <w:color w:val="44546A"/>
      <w:sz w:val="24"/>
      <w:szCs w:val="24"/>
      <w:lang w:eastAsia="it-IT"/>
    </w:rPr>
  </w:style>
  <w:style w:type="paragraph" w:customStyle="1" w:styleId="Equazioni10">
    <w:name w:val="Equazioni 10"/>
    <w:basedOn w:val="Equazionimat"/>
    <w:link w:val="Equazioni10Carattere"/>
    <w:rsid w:val="00CA7A69"/>
  </w:style>
  <w:style w:type="character" w:customStyle="1" w:styleId="Eq10Carattere">
    <w:name w:val="Eq. 10 Carattere"/>
    <w:basedOn w:val="Equazioni10Carattere"/>
    <w:link w:val="Eq10"/>
    <w:locked/>
    <w:rsid w:val="00CA7A69"/>
    <w:rPr>
      <w:rFonts w:ascii="Cambria Math" w:eastAsia="Times New Roman" w:hAnsi="Cambria Math" w:cs="Times New Roman"/>
      <w:b/>
      <w:bCs/>
      <w:color w:val="44546A"/>
      <w:sz w:val="24"/>
      <w:szCs w:val="24"/>
      <w:lang w:eastAsia="it-IT"/>
    </w:rPr>
  </w:style>
  <w:style w:type="paragraph" w:customStyle="1" w:styleId="Eq10">
    <w:name w:val="Eq. 10"/>
    <w:basedOn w:val="Equazioni10"/>
    <w:link w:val="Eq10Carattere"/>
    <w:qFormat/>
    <w:rsid w:val="00CA7A69"/>
  </w:style>
  <w:style w:type="table" w:customStyle="1" w:styleId="Grigliatabella4">
    <w:name w:val="Griglia tabella4"/>
    <w:basedOn w:val="TableNormal"/>
    <w:next w:val="TableGrid"/>
    <w:uiPriority w:val="39"/>
    <w:rsid w:val="00CA7A6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A7A69"/>
    <w:pPr>
      <w:spacing w:after="0" w:line="240" w:lineRule="auto"/>
      <w:ind w:left="357"/>
    </w:pPr>
    <w:rPr>
      <w:rFonts w:ascii="Cambria Math" w:eastAsia="Calibri" w:hAnsi="Cambria Math" w:cs="Times New Roman"/>
    </w:rPr>
    <w:tblPr>
      <w:tblInd w:w="0" w:type="nil"/>
    </w:tblPr>
  </w:style>
  <w:style w:type="character" w:styleId="UnresolvedMention">
    <w:name w:val="Unresolved Mention"/>
    <w:basedOn w:val="DefaultParagraphFont"/>
    <w:uiPriority w:val="99"/>
    <w:semiHidden/>
    <w:unhideWhenUsed/>
    <w:rsid w:val="00CA7A69"/>
    <w:rPr>
      <w:color w:val="605E5C"/>
      <w:shd w:val="clear" w:color="auto" w:fill="E1DFDD"/>
    </w:rPr>
  </w:style>
  <w:style w:type="paragraph" w:customStyle="1" w:styleId="Indice11">
    <w:name w:val="Indice 11"/>
    <w:basedOn w:val="Normal"/>
    <w:next w:val="Normal"/>
    <w:autoRedefine/>
    <w:unhideWhenUsed/>
    <w:rsid w:val="00CA7A69"/>
    <w:pPr>
      <w:spacing w:after="0" w:line="360" w:lineRule="auto"/>
      <w:ind w:left="240" w:hanging="240"/>
    </w:pPr>
    <w:rPr>
      <w:rFonts w:eastAsia="Times New Roman" w:cs="Calibri"/>
      <w:sz w:val="18"/>
      <w:szCs w:val="18"/>
      <w:lang w:eastAsia="it-IT"/>
    </w:rPr>
  </w:style>
  <w:style w:type="paragraph" w:customStyle="1" w:styleId="Indice21">
    <w:name w:val="Indice 21"/>
    <w:basedOn w:val="Normal"/>
    <w:next w:val="Normal"/>
    <w:autoRedefine/>
    <w:unhideWhenUsed/>
    <w:rsid w:val="00CA7A69"/>
    <w:pPr>
      <w:spacing w:after="0" w:line="360" w:lineRule="auto"/>
      <w:ind w:left="480" w:hanging="240"/>
    </w:pPr>
    <w:rPr>
      <w:rFonts w:eastAsia="Times New Roman" w:cs="Calibri"/>
      <w:sz w:val="18"/>
      <w:szCs w:val="18"/>
      <w:lang w:eastAsia="it-IT"/>
    </w:rPr>
  </w:style>
  <w:style w:type="paragraph" w:customStyle="1" w:styleId="Indice31">
    <w:name w:val="Indice 31"/>
    <w:basedOn w:val="Normal"/>
    <w:next w:val="Normal"/>
    <w:autoRedefine/>
    <w:unhideWhenUsed/>
    <w:rsid w:val="00CA7A69"/>
    <w:pPr>
      <w:spacing w:after="0" w:line="360" w:lineRule="auto"/>
      <w:ind w:left="720" w:hanging="240"/>
    </w:pPr>
    <w:rPr>
      <w:rFonts w:eastAsia="Times New Roman" w:cs="Calibri"/>
      <w:sz w:val="18"/>
      <w:szCs w:val="18"/>
      <w:lang w:eastAsia="it-IT"/>
    </w:rPr>
  </w:style>
  <w:style w:type="paragraph" w:customStyle="1" w:styleId="Indice41">
    <w:name w:val="Indice 41"/>
    <w:basedOn w:val="Normal"/>
    <w:next w:val="Normal"/>
    <w:autoRedefine/>
    <w:unhideWhenUsed/>
    <w:rsid w:val="00CA7A69"/>
    <w:pPr>
      <w:spacing w:after="0" w:line="360" w:lineRule="auto"/>
      <w:ind w:left="960" w:hanging="240"/>
    </w:pPr>
    <w:rPr>
      <w:rFonts w:eastAsia="Times New Roman" w:cs="Calibri"/>
      <w:sz w:val="18"/>
      <w:szCs w:val="18"/>
      <w:lang w:eastAsia="it-IT"/>
    </w:rPr>
  </w:style>
  <w:style w:type="paragraph" w:customStyle="1" w:styleId="Indice51">
    <w:name w:val="Indice 51"/>
    <w:basedOn w:val="Normal"/>
    <w:next w:val="Normal"/>
    <w:autoRedefine/>
    <w:unhideWhenUsed/>
    <w:rsid w:val="00CA7A69"/>
    <w:pPr>
      <w:spacing w:after="0" w:line="360" w:lineRule="auto"/>
      <w:ind w:left="1200" w:hanging="240"/>
    </w:pPr>
    <w:rPr>
      <w:rFonts w:eastAsia="Times New Roman" w:cs="Calibri"/>
      <w:sz w:val="18"/>
      <w:szCs w:val="18"/>
      <w:lang w:eastAsia="it-IT"/>
    </w:rPr>
  </w:style>
  <w:style w:type="paragraph" w:customStyle="1" w:styleId="Indice61">
    <w:name w:val="Indice 61"/>
    <w:basedOn w:val="Normal"/>
    <w:next w:val="Normal"/>
    <w:autoRedefine/>
    <w:unhideWhenUsed/>
    <w:rsid w:val="00CA7A69"/>
    <w:pPr>
      <w:spacing w:after="0" w:line="360" w:lineRule="auto"/>
      <w:ind w:left="1440" w:hanging="240"/>
    </w:pPr>
    <w:rPr>
      <w:rFonts w:eastAsia="Times New Roman" w:cs="Calibri"/>
      <w:sz w:val="18"/>
      <w:szCs w:val="18"/>
      <w:lang w:eastAsia="it-IT"/>
    </w:rPr>
  </w:style>
  <w:style w:type="paragraph" w:customStyle="1" w:styleId="Indice71">
    <w:name w:val="Indice 71"/>
    <w:basedOn w:val="Normal"/>
    <w:next w:val="Normal"/>
    <w:autoRedefine/>
    <w:unhideWhenUsed/>
    <w:rsid w:val="00CA7A69"/>
    <w:pPr>
      <w:spacing w:after="0" w:line="360" w:lineRule="auto"/>
      <w:ind w:left="1680" w:hanging="240"/>
    </w:pPr>
    <w:rPr>
      <w:rFonts w:eastAsia="Times New Roman" w:cs="Calibri"/>
      <w:sz w:val="18"/>
      <w:szCs w:val="18"/>
      <w:lang w:eastAsia="it-IT"/>
    </w:rPr>
  </w:style>
  <w:style w:type="paragraph" w:customStyle="1" w:styleId="Indice81">
    <w:name w:val="Indice 81"/>
    <w:basedOn w:val="Normal"/>
    <w:next w:val="Normal"/>
    <w:autoRedefine/>
    <w:unhideWhenUsed/>
    <w:rsid w:val="00CA7A69"/>
    <w:pPr>
      <w:spacing w:after="0" w:line="360" w:lineRule="auto"/>
      <w:ind w:left="1920" w:hanging="240"/>
    </w:pPr>
    <w:rPr>
      <w:rFonts w:eastAsia="Times New Roman" w:cs="Calibri"/>
      <w:sz w:val="18"/>
      <w:szCs w:val="18"/>
      <w:lang w:eastAsia="it-IT"/>
    </w:rPr>
  </w:style>
  <w:style w:type="paragraph" w:customStyle="1" w:styleId="Indice91">
    <w:name w:val="Indice 91"/>
    <w:basedOn w:val="Normal"/>
    <w:next w:val="Normal"/>
    <w:autoRedefine/>
    <w:unhideWhenUsed/>
    <w:rsid w:val="00CA7A69"/>
    <w:pPr>
      <w:spacing w:after="0" w:line="360" w:lineRule="auto"/>
      <w:ind w:left="2160" w:hanging="240"/>
    </w:pPr>
    <w:rPr>
      <w:rFonts w:eastAsia="Times New Roman" w:cs="Calibri"/>
      <w:sz w:val="18"/>
      <w:szCs w:val="18"/>
      <w:lang w:eastAsia="it-IT"/>
    </w:rPr>
  </w:style>
  <w:style w:type="paragraph" w:customStyle="1" w:styleId="Titoloindice1">
    <w:name w:val="Titolo indice1"/>
    <w:basedOn w:val="Normal"/>
    <w:next w:val="Index1"/>
    <w:unhideWhenUsed/>
    <w:rsid w:val="00CA7A69"/>
    <w:pPr>
      <w:spacing w:before="240" w:after="120" w:line="360" w:lineRule="auto"/>
      <w:jc w:val="center"/>
    </w:pPr>
    <w:rPr>
      <w:rFonts w:eastAsia="Times New Roman" w:cs="Calibri"/>
      <w:b/>
      <w:bCs/>
      <w:sz w:val="26"/>
      <w:szCs w:val="26"/>
      <w:lang w:eastAsia="it-IT"/>
    </w:rPr>
  </w:style>
  <w:style w:type="character" w:styleId="LineNumber">
    <w:name w:val="line number"/>
    <w:basedOn w:val="DefaultParagraphFont"/>
    <w:uiPriority w:val="99"/>
    <w:semiHidden/>
    <w:unhideWhenUsed/>
    <w:rsid w:val="00CA7A69"/>
  </w:style>
  <w:style w:type="character" w:styleId="Emphasis">
    <w:name w:val="Emphasis"/>
    <w:basedOn w:val="DefaultParagraphFont"/>
    <w:uiPriority w:val="20"/>
    <w:qFormat/>
    <w:rsid w:val="00CA7A69"/>
    <w:rPr>
      <w:i/>
      <w:iCs/>
    </w:rPr>
  </w:style>
  <w:style w:type="character" w:customStyle="1" w:styleId="UnresolvedMention1">
    <w:name w:val="Unresolved Mention1"/>
    <w:basedOn w:val="DefaultParagraphFont"/>
    <w:uiPriority w:val="99"/>
    <w:semiHidden/>
    <w:unhideWhenUsed/>
    <w:rsid w:val="00CA7A69"/>
    <w:rPr>
      <w:color w:val="605E5C"/>
      <w:shd w:val="clear" w:color="auto" w:fill="E1DFDD"/>
    </w:rPr>
  </w:style>
  <w:style w:type="paragraph" w:customStyle="1" w:styleId="Titolo21">
    <w:name w:val="Titolo 21"/>
    <w:basedOn w:val="Normal"/>
    <w:next w:val="Normal"/>
    <w:uiPriority w:val="9"/>
    <w:unhideWhenUsed/>
    <w:qFormat/>
    <w:rsid w:val="00CA7A69"/>
    <w:pPr>
      <w:keepNext/>
      <w:keepLines/>
      <w:spacing w:before="120" w:after="60" w:line="240" w:lineRule="auto"/>
      <w:jc w:val="both"/>
      <w:outlineLvl w:val="1"/>
    </w:pPr>
    <w:rPr>
      <w:rFonts w:ascii="Arial Rounded MT Bold" w:eastAsia="Times New Roman" w:hAnsi="Arial Rounded MT Bold" w:cs="Times New Roman"/>
      <w:sz w:val="24"/>
      <w:szCs w:val="26"/>
    </w:rPr>
  </w:style>
  <w:style w:type="paragraph" w:customStyle="1" w:styleId="Titolo31">
    <w:name w:val="Titolo 31"/>
    <w:basedOn w:val="Normal"/>
    <w:next w:val="Normal"/>
    <w:uiPriority w:val="9"/>
    <w:unhideWhenUsed/>
    <w:qFormat/>
    <w:rsid w:val="00CA7A69"/>
    <w:pPr>
      <w:keepNext/>
      <w:keepLines/>
      <w:spacing w:before="120" w:after="60" w:line="240" w:lineRule="auto"/>
      <w:jc w:val="both"/>
      <w:outlineLvl w:val="2"/>
    </w:pPr>
    <w:rPr>
      <w:rFonts w:ascii="Arial Rounded MT Bold" w:eastAsia="Times New Roman" w:hAnsi="Arial Rounded MT Bold" w:cs="Times New Roman"/>
      <w:sz w:val="20"/>
      <w:szCs w:val="24"/>
    </w:rPr>
  </w:style>
  <w:style w:type="paragraph" w:customStyle="1" w:styleId="Titolo41">
    <w:name w:val="Titolo 41"/>
    <w:basedOn w:val="Normal"/>
    <w:next w:val="Normal"/>
    <w:uiPriority w:val="9"/>
    <w:unhideWhenUsed/>
    <w:qFormat/>
    <w:rsid w:val="00CA7A69"/>
    <w:pPr>
      <w:keepNext/>
      <w:keepLines/>
      <w:spacing w:before="120" w:after="60" w:line="240" w:lineRule="auto"/>
      <w:jc w:val="both"/>
      <w:outlineLvl w:val="3"/>
    </w:pPr>
    <w:rPr>
      <w:rFonts w:ascii="Arial Rounded MT Bold" w:eastAsia="Times New Roman" w:hAnsi="Arial Rounded MT Bold" w:cs="Times New Roman"/>
      <w:iCs/>
      <w:sz w:val="20"/>
    </w:rPr>
  </w:style>
  <w:style w:type="paragraph" w:customStyle="1" w:styleId="Titolo51">
    <w:name w:val="Titolo 51"/>
    <w:basedOn w:val="Normal"/>
    <w:next w:val="Normal"/>
    <w:uiPriority w:val="9"/>
    <w:unhideWhenUsed/>
    <w:qFormat/>
    <w:rsid w:val="00CA7A69"/>
    <w:pPr>
      <w:keepNext/>
      <w:keepLines/>
      <w:spacing w:before="120" w:after="60" w:line="240" w:lineRule="auto"/>
      <w:jc w:val="both"/>
      <w:outlineLvl w:val="4"/>
    </w:pPr>
    <w:rPr>
      <w:rFonts w:ascii="Arial Rounded MT Bold" w:eastAsia="Times New Roman" w:hAnsi="Arial Rounded MT Bold" w:cs="Times New Roman"/>
      <w:sz w:val="20"/>
    </w:rPr>
  </w:style>
  <w:style w:type="numbering" w:customStyle="1" w:styleId="Nessunelenco111">
    <w:name w:val="Nessun elenco111"/>
    <w:next w:val="NoList"/>
    <w:uiPriority w:val="99"/>
    <w:semiHidden/>
    <w:unhideWhenUsed/>
    <w:rsid w:val="00CA7A69"/>
  </w:style>
  <w:style w:type="paragraph" w:customStyle="1" w:styleId="Revisione1">
    <w:name w:val="Revisione1"/>
    <w:next w:val="Revision"/>
    <w:hidden/>
    <w:uiPriority w:val="99"/>
    <w:semiHidden/>
    <w:rsid w:val="00CA7A69"/>
    <w:pPr>
      <w:spacing w:after="0" w:line="240" w:lineRule="auto"/>
    </w:pPr>
    <w:rPr>
      <w:rFonts w:ascii="Calibri" w:eastAsia="Calibri" w:hAnsi="Calibri" w:cs="Times New Roman"/>
    </w:rPr>
  </w:style>
  <w:style w:type="paragraph" w:customStyle="1" w:styleId="Titolo1">
    <w:name w:val="Titolo1"/>
    <w:basedOn w:val="Normal"/>
    <w:next w:val="Normal"/>
    <w:uiPriority w:val="10"/>
    <w:qFormat/>
    <w:rsid w:val="00CA7A69"/>
    <w:pPr>
      <w:spacing w:after="0" w:line="240" w:lineRule="auto"/>
      <w:contextualSpacing/>
      <w:jc w:val="both"/>
    </w:pPr>
    <w:rPr>
      <w:rFonts w:ascii="Calibri Light" w:eastAsia="Times New Roman" w:hAnsi="Calibri Light" w:cs="Times New Roman"/>
      <w:spacing w:val="-10"/>
      <w:kern w:val="28"/>
      <w:sz w:val="56"/>
      <w:szCs w:val="56"/>
    </w:rPr>
  </w:style>
  <w:style w:type="paragraph" w:customStyle="1" w:styleId="Intestazione1">
    <w:name w:val="Intestazione1"/>
    <w:basedOn w:val="Normal"/>
    <w:next w:val="Header"/>
    <w:uiPriority w:val="99"/>
    <w:unhideWhenUsed/>
    <w:rsid w:val="00CA7A69"/>
    <w:pPr>
      <w:tabs>
        <w:tab w:val="center" w:pos="4819"/>
        <w:tab w:val="right" w:pos="9638"/>
      </w:tabs>
      <w:spacing w:after="0" w:line="240" w:lineRule="auto"/>
      <w:jc w:val="both"/>
    </w:pPr>
    <w:rPr>
      <w:rFonts w:ascii="Times New Roman" w:eastAsia="Times New Roman" w:hAnsi="Times New Roman" w:cs="Times New Roman"/>
      <w:sz w:val="20"/>
      <w:szCs w:val="20"/>
      <w:lang w:eastAsia="it-IT"/>
    </w:rPr>
  </w:style>
  <w:style w:type="paragraph" w:customStyle="1" w:styleId="Pidipagina1">
    <w:name w:val="Piè di pagina1"/>
    <w:basedOn w:val="Normal"/>
    <w:next w:val="Footer"/>
    <w:uiPriority w:val="99"/>
    <w:unhideWhenUsed/>
    <w:rsid w:val="00CA7A69"/>
    <w:pPr>
      <w:tabs>
        <w:tab w:val="center" w:pos="4819"/>
        <w:tab w:val="right" w:pos="9638"/>
      </w:tabs>
      <w:spacing w:after="0" w:line="240" w:lineRule="auto"/>
      <w:jc w:val="both"/>
    </w:pPr>
    <w:rPr>
      <w:rFonts w:ascii="Times New Roman" w:eastAsia="Times New Roman" w:hAnsi="Times New Roman" w:cs="Times New Roman"/>
      <w:sz w:val="20"/>
      <w:szCs w:val="20"/>
      <w:lang w:eastAsia="it-IT"/>
    </w:rPr>
  </w:style>
  <w:style w:type="table" w:customStyle="1" w:styleId="Style11">
    <w:name w:val="Style11"/>
    <w:basedOn w:val="TableNormal"/>
    <w:uiPriority w:val="99"/>
    <w:rsid w:val="00CA7A69"/>
    <w:pPr>
      <w:spacing w:after="0" w:line="240" w:lineRule="auto"/>
      <w:ind w:left="357"/>
    </w:pPr>
    <w:rPr>
      <w:rFonts w:ascii="Cambria Math" w:eastAsia="Calibri" w:hAnsi="Cambria Math" w:cs="Times New Roman"/>
    </w:rPr>
    <w:tblPr/>
  </w:style>
  <w:style w:type="paragraph" w:customStyle="1" w:styleId="Nessunaspaziatura1">
    <w:name w:val="Nessuna spaziatura1"/>
    <w:next w:val="NoSpacing"/>
    <w:uiPriority w:val="1"/>
    <w:qFormat/>
    <w:rsid w:val="00CA7A69"/>
    <w:pPr>
      <w:spacing w:after="0" w:line="240" w:lineRule="auto"/>
      <w:ind w:left="357" w:firstLine="340"/>
      <w:jc w:val="both"/>
    </w:pPr>
    <w:rPr>
      <w:rFonts w:ascii="Cambria Math" w:eastAsia="Calibri" w:hAnsi="Cambria Math" w:cs="Times New Roman"/>
      <w:sz w:val="23"/>
    </w:rPr>
  </w:style>
  <w:style w:type="character" w:customStyle="1" w:styleId="Titolo2Carattere1">
    <w:name w:val="Titolo 2 Carattere1"/>
    <w:basedOn w:val="DefaultParagraphFont"/>
    <w:uiPriority w:val="9"/>
    <w:semiHidden/>
    <w:rsid w:val="00CA7A69"/>
    <w:rPr>
      <w:rFonts w:ascii="Cambria" w:eastAsia="Times New Roman" w:hAnsi="Cambria" w:cs="Times New Roman"/>
      <w:color w:val="365F91"/>
      <w:sz w:val="26"/>
      <w:szCs w:val="26"/>
    </w:rPr>
  </w:style>
  <w:style w:type="character" w:customStyle="1" w:styleId="Titolo3Carattere1">
    <w:name w:val="Titolo 3 Carattere1"/>
    <w:basedOn w:val="DefaultParagraphFont"/>
    <w:uiPriority w:val="9"/>
    <w:semiHidden/>
    <w:rsid w:val="00CA7A69"/>
    <w:rPr>
      <w:rFonts w:ascii="Cambria" w:eastAsia="Times New Roman" w:hAnsi="Cambria" w:cs="Times New Roman"/>
      <w:color w:val="243F60"/>
      <w:sz w:val="24"/>
      <w:szCs w:val="24"/>
    </w:rPr>
  </w:style>
  <w:style w:type="character" w:customStyle="1" w:styleId="Titolo4Carattere1">
    <w:name w:val="Titolo 4 Carattere1"/>
    <w:basedOn w:val="DefaultParagraphFont"/>
    <w:uiPriority w:val="9"/>
    <w:semiHidden/>
    <w:rsid w:val="00CA7A69"/>
    <w:rPr>
      <w:rFonts w:ascii="Cambria" w:eastAsia="Times New Roman" w:hAnsi="Cambria" w:cs="Times New Roman"/>
      <w:i/>
      <w:iCs/>
      <w:color w:val="365F91"/>
      <w:sz w:val="24"/>
    </w:rPr>
  </w:style>
  <w:style w:type="character" w:customStyle="1" w:styleId="Titolo5Carattere1">
    <w:name w:val="Titolo 5 Carattere1"/>
    <w:basedOn w:val="DefaultParagraphFont"/>
    <w:uiPriority w:val="9"/>
    <w:semiHidden/>
    <w:rsid w:val="00CA7A69"/>
    <w:rPr>
      <w:rFonts w:ascii="Cambria" w:eastAsia="Times New Roman" w:hAnsi="Cambria" w:cs="Times New Roman"/>
      <w:color w:val="365F91"/>
      <w:sz w:val="24"/>
    </w:rPr>
  </w:style>
  <w:style w:type="character" w:customStyle="1" w:styleId="TitoloCarattere1">
    <w:name w:val="Titolo Carattere1"/>
    <w:basedOn w:val="DefaultParagraphFont"/>
    <w:uiPriority w:val="10"/>
    <w:rsid w:val="00CA7A69"/>
    <w:rPr>
      <w:rFonts w:ascii="Cambria" w:eastAsia="Times New Roman" w:hAnsi="Cambria" w:cs="Times New Roman"/>
      <w:spacing w:val="-10"/>
      <w:kern w:val="28"/>
      <w:sz w:val="56"/>
      <w:szCs w:val="56"/>
    </w:rPr>
  </w:style>
  <w:style w:type="character" w:customStyle="1" w:styleId="IntestazioneCarattere1">
    <w:name w:val="Intestazione Carattere1"/>
    <w:basedOn w:val="DefaultParagraphFont"/>
    <w:uiPriority w:val="99"/>
    <w:semiHidden/>
    <w:rsid w:val="00CA7A69"/>
    <w:rPr>
      <w:sz w:val="24"/>
    </w:rPr>
  </w:style>
  <w:style w:type="character" w:customStyle="1" w:styleId="PidipaginaCarattere1">
    <w:name w:val="Piè di pagina Carattere1"/>
    <w:basedOn w:val="DefaultParagraphFont"/>
    <w:uiPriority w:val="99"/>
    <w:semiHidden/>
    <w:rsid w:val="00CA7A69"/>
    <w:rPr>
      <w:sz w:val="24"/>
    </w:rPr>
  </w:style>
  <w:style w:type="table" w:customStyle="1" w:styleId="Grigliatabella5">
    <w:name w:val="Griglia tabella5"/>
    <w:basedOn w:val="TableNormal"/>
    <w:next w:val="TableGrid"/>
    <w:uiPriority w:val="39"/>
    <w:rsid w:val="00CA7A6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CA7A69"/>
    <w:pPr>
      <w:spacing w:before="100" w:beforeAutospacing="1" w:after="100" w:afterAutospacing="1" w:line="240" w:lineRule="auto"/>
    </w:pPr>
    <w:rPr>
      <w:rFonts w:ascii="Times New Roman" w:eastAsia="Times New Roman" w:hAnsi="Times New Roman" w:cs="Times New Roman"/>
      <w:color w:val="000000"/>
      <w:sz w:val="14"/>
      <w:szCs w:val="14"/>
      <w:lang w:val="en-GB" w:eastAsia="en-GB"/>
    </w:rPr>
  </w:style>
  <w:style w:type="paragraph" w:customStyle="1" w:styleId="font6">
    <w:name w:val="font6"/>
    <w:basedOn w:val="Normal"/>
    <w:rsid w:val="00CA7A69"/>
    <w:pPr>
      <w:spacing w:before="100" w:beforeAutospacing="1" w:after="100" w:afterAutospacing="1" w:line="240" w:lineRule="auto"/>
    </w:pPr>
    <w:rPr>
      <w:rFonts w:ascii="Times New Roman" w:eastAsia="Times New Roman" w:hAnsi="Times New Roman" w:cs="Times New Roman"/>
      <w:color w:val="000000"/>
      <w:sz w:val="14"/>
      <w:szCs w:val="14"/>
      <w:lang w:val="en-GB" w:eastAsia="en-GB"/>
    </w:rPr>
  </w:style>
  <w:style w:type="paragraph" w:customStyle="1" w:styleId="font7">
    <w:name w:val="font7"/>
    <w:basedOn w:val="Normal"/>
    <w:rsid w:val="00CA7A69"/>
    <w:pPr>
      <w:spacing w:before="100" w:beforeAutospacing="1" w:after="100" w:afterAutospacing="1" w:line="240" w:lineRule="auto"/>
    </w:pPr>
    <w:rPr>
      <w:rFonts w:ascii="Times New Roman" w:eastAsia="Times New Roman" w:hAnsi="Times New Roman" w:cs="Times New Roman"/>
      <w:color w:val="000000"/>
      <w:sz w:val="14"/>
      <w:szCs w:val="14"/>
      <w:lang w:val="en-GB" w:eastAsia="en-GB"/>
    </w:rPr>
  </w:style>
  <w:style w:type="paragraph" w:customStyle="1" w:styleId="font8">
    <w:name w:val="font8"/>
    <w:basedOn w:val="Normal"/>
    <w:rsid w:val="00CA7A69"/>
    <w:pPr>
      <w:spacing w:before="100" w:beforeAutospacing="1" w:after="100" w:afterAutospacing="1" w:line="240" w:lineRule="auto"/>
    </w:pPr>
    <w:rPr>
      <w:rFonts w:ascii="Calibri" w:eastAsia="Times New Roman" w:hAnsi="Calibri" w:cs="Calibri"/>
      <w:color w:val="000000"/>
      <w:sz w:val="14"/>
      <w:szCs w:val="14"/>
      <w:lang w:val="en-GB" w:eastAsia="en-GB"/>
    </w:rPr>
  </w:style>
  <w:style w:type="paragraph" w:customStyle="1" w:styleId="font9">
    <w:name w:val="font9"/>
    <w:basedOn w:val="Normal"/>
    <w:rsid w:val="00CA7A69"/>
    <w:pPr>
      <w:spacing w:before="100" w:beforeAutospacing="1" w:after="100" w:afterAutospacing="1" w:line="240" w:lineRule="auto"/>
    </w:pPr>
    <w:rPr>
      <w:rFonts w:ascii="Times New Roman" w:eastAsia="Times New Roman" w:hAnsi="Times New Roman" w:cs="Times New Roman"/>
      <w:color w:val="000000"/>
      <w:sz w:val="14"/>
      <w:szCs w:val="14"/>
      <w:lang w:val="en-GB" w:eastAsia="en-GB"/>
    </w:rPr>
  </w:style>
  <w:style w:type="paragraph" w:customStyle="1" w:styleId="font10">
    <w:name w:val="font10"/>
    <w:basedOn w:val="Normal"/>
    <w:rsid w:val="00CA7A69"/>
    <w:pPr>
      <w:spacing w:before="100" w:beforeAutospacing="1" w:after="100" w:afterAutospacing="1" w:line="240" w:lineRule="auto"/>
    </w:pPr>
    <w:rPr>
      <w:rFonts w:ascii="Times New Roman" w:eastAsia="Times New Roman" w:hAnsi="Times New Roman" w:cs="Times New Roman"/>
      <w:color w:val="000000"/>
      <w:sz w:val="14"/>
      <w:szCs w:val="14"/>
      <w:lang w:val="en-GB" w:eastAsia="en-GB"/>
    </w:rPr>
  </w:style>
  <w:style w:type="paragraph" w:customStyle="1" w:styleId="font11">
    <w:name w:val="font11"/>
    <w:basedOn w:val="Normal"/>
    <w:rsid w:val="00CA7A69"/>
    <w:pPr>
      <w:spacing w:before="100" w:beforeAutospacing="1" w:after="100" w:afterAutospacing="1" w:line="240" w:lineRule="auto"/>
    </w:pPr>
    <w:rPr>
      <w:rFonts w:ascii="Times New Roman" w:eastAsia="Times New Roman" w:hAnsi="Times New Roman" w:cs="Times New Roman"/>
      <w:color w:val="000000"/>
      <w:sz w:val="14"/>
      <w:szCs w:val="14"/>
      <w:lang w:val="en-GB" w:eastAsia="en-GB"/>
    </w:rPr>
  </w:style>
  <w:style w:type="paragraph" w:customStyle="1" w:styleId="xl65">
    <w:name w:val="xl65"/>
    <w:basedOn w:val="Normal"/>
    <w:rsid w:val="00CA7A69"/>
    <w:pPr>
      <w:shd w:val="clear" w:color="000000" w:fill="F2F2F2"/>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66">
    <w:name w:val="xl66"/>
    <w:basedOn w:val="Normal"/>
    <w:rsid w:val="00CA7A69"/>
    <w:pPr>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67">
    <w:name w:val="xl67"/>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68">
    <w:name w:val="xl68"/>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69">
    <w:name w:val="xl69"/>
    <w:basedOn w:val="Normal"/>
    <w:rsid w:val="00CA7A69"/>
    <w:pPr>
      <w:shd w:val="clear" w:color="000000" w:fill="FFF2CC"/>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70">
    <w:name w:val="xl70"/>
    <w:basedOn w:val="Normal"/>
    <w:rsid w:val="00CA7A69"/>
    <w:pPr>
      <w:spacing w:before="100" w:beforeAutospacing="1" w:after="100" w:afterAutospacing="1" w:line="240" w:lineRule="auto"/>
      <w:jc w:val="center"/>
      <w:textAlignment w:val="center"/>
    </w:pPr>
    <w:rPr>
      <w:rFonts w:ascii="Times New Roman" w:eastAsia="Times New Roman" w:hAnsi="Times New Roman" w:cs="Times New Roman"/>
      <w:color w:val="000000"/>
      <w:sz w:val="14"/>
      <w:szCs w:val="14"/>
      <w:lang w:val="en-GB" w:eastAsia="en-GB"/>
    </w:rPr>
  </w:style>
  <w:style w:type="paragraph" w:customStyle="1" w:styleId="xl71">
    <w:name w:val="xl71"/>
    <w:basedOn w:val="Normal"/>
    <w:rsid w:val="00CA7A6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72">
    <w:name w:val="xl72"/>
    <w:basedOn w:val="Normal"/>
    <w:rsid w:val="00CA7A69"/>
    <w:pPr>
      <w:shd w:val="clear" w:color="000000" w:fill="D0CECE"/>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73">
    <w:name w:val="xl73"/>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74">
    <w:name w:val="xl74"/>
    <w:basedOn w:val="Normal"/>
    <w:rsid w:val="00CA7A69"/>
    <w:pPr>
      <w:pBdr>
        <w:top w:val="single" w:sz="4" w:space="0" w:color="D0CECE"/>
      </w:pBdr>
      <w:spacing w:before="100" w:beforeAutospacing="1" w:after="100" w:afterAutospacing="1" w:line="240" w:lineRule="auto"/>
      <w:jc w:val="center"/>
      <w:textAlignment w:val="center"/>
    </w:pPr>
    <w:rPr>
      <w:rFonts w:ascii="Times New Roman" w:eastAsia="Times New Roman" w:hAnsi="Times New Roman" w:cs="Times New Roman"/>
      <w:color w:val="000000"/>
      <w:sz w:val="14"/>
      <w:szCs w:val="14"/>
      <w:lang w:val="en-GB" w:eastAsia="en-GB"/>
    </w:rPr>
  </w:style>
  <w:style w:type="paragraph" w:customStyle="1" w:styleId="xl75">
    <w:name w:val="xl75"/>
    <w:basedOn w:val="Normal"/>
    <w:rsid w:val="00CA7A69"/>
    <w:pPr>
      <w:pBdr>
        <w:bottom w:val="single" w:sz="4" w:space="0" w:color="D0CECE"/>
      </w:pBdr>
      <w:spacing w:before="100" w:beforeAutospacing="1" w:after="100" w:afterAutospacing="1" w:line="240" w:lineRule="auto"/>
      <w:jc w:val="center"/>
      <w:textAlignment w:val="center"/>
    </w:pPr>
    <w:rPr>
      <w:rFonts w:ascii="Times New Roman" w:eastAsia="Times New Roman" w:hAnsi="Times New Roman" w:cs="Times New Roman"/>
      <w:color w:val="000000"/>
      <w:sz w:val="14"/>
      <w:szCs w:val="14"/>
      <w:lang w:val="en-GB" w:eastAsia="en-GB"/>
    </w:rPr>
  </w:style>
  <w:style w:type="paragraph" w:customStyle="1" w:styleId="xl76">
    <w:name w:val="xl76"/>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77">
    <w:name w:val="xl77"/>
    <w:basedOn w:val="Normal"/>
    <w:rsid w:val="00CA7A69"/>
    <w:pPr>
      <w:shd w:val="clear" w:color="000000" w:fill="FF9900"/>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78">
    <w:name w:val="xl78"/>
    <w:basedOn w:val="Normal"/>
    <w:rsid w:val="00CA7A69"/>
    <w:pPr>
      <w:shd w:val="clear" w:color="000000" w:fill="FF9900"/>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79">
    <w:name w:val="xl79"/>
    <w:basedOn w:val="Normal"/>
    <w:rsid w:val="00CA7A69"/>
    <w:pPr>
      <w:shd w:val="clear" w:color="000000" w:fill="CC99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80">
    <w:name w:val="xl80"/>
    <w:basedOn w:val="Normal"/>
    <w:rsid w:val="00CA7A69"/>
    <w:pPr>
      <w:shd w:val="clear" w:color="000000" w:fill="CC99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81">
    <w:name w:val="xl81"/>
    <w:basedOn w:val="Normal"/>
    <w:rsid w:val="00CA7A69"/>
    <w:pPr>
      <w:shd w:val="clear" w:color="000000" w:fill="CC99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82">
    <w:name w:val="xl82"/>
    <w:basedOn w:val="Normal"/>
    <w:rsid w:val="00CA7A69"/>
    <w:pPr>
      <w:pBdr>
        <w:top w:val="single" w:sz="4" w:space="0" w:color="D0CECE"/>
      </w:pBd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83">
    <w:name w:val="xl83"/>
    <w:basedOn w:val="Normal"/>
    <w:rsid w:val="00CA7A69"/>
    <w:pPr>
      <w:shd w:val="clear" w:color="000000" w:fill="FFD966"/>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84">
    <w:name w:val="xl84"/>
    <w:basedOn w:val="Normal"/>
    <w:rsid w:val="00CA7A69"/>
    <w:pPr>
      <w:shd w:val="clear" w:color="000000" w:fill="FFD966"/>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85">
    <w:name w:val="xl85"/>
    <w:basedOn w:val="Normal"/>
    <w:rsid w:val="00CA7A69"/>
    <w:pPr>
      <w:pBdr>
        <w:top w:val="single" w:sz="4" w:space="0" w:color="D0CECE"/>
      </w:pBdr>
      <w:shd w:val="clear" w:color="000000" w:fill="FFD966"/>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86">
    <w:name w:val="xl86"/>
    <w:basedOn w:val="Normal"/>
    <w:rsid w:val="00CA7A69"/>
    <w:pPr>
      <w:pBdr>
        <w:top w:val="single" w:sz="4" w:space="0" w:color="D0CECE"/>
      </w:pBdr>
      <w:shd w:val="clear" w:color="000000" w:fill="FFF2CC"/>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87">
    <w:name w:val="xl87"/>
    <w:basedOn w:val="Normal"/>
    <w:rsid w:val="00CA7A69"/>
    <w:pPr>
      <w:pBdr>
        <w:top w:val="single" w:sz="4" w:space="0" w:color="D0CECE"/>
      </w:pBdr>
      <w:shd w:val="clear" w:color="000000" w:fill="FFCC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88">
    <w:name w:val="xl88"/>
    <w:basedOn w:val="Normal"/>
    <w:rsid w:val="00CA7A69"/>
    <w:pPr>
      <w:pBdr>
        <w:top w:val="single" w:sz="4" w:space="0" w:color="D0CECE"/>
      </w:pBd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89">
    <w:name w:val="xl89"/>
    <w:basedOn w:val="Normal"/>
    <w:rsid w:val="00CA7A69"/>
    <w:pPr>
      <w:pBdr>
        <w:top w:val="single" w:sz="4" w:space="0" w:color="D0CECE"/>
      </w:pBdr>
      <w:shd w:val="clear" w:color="000000" w:fill="FFCC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90">
    <w:name w:val="xl90"/>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91">
    <w:name w:val="xl91"/>
    <w:basedOn w:val="Normal"/>
    <w:rsid w:val="00CA7A69"/>
    <w:pPr>
      <w:pBdr>
        <w:bottom w:val="single" w:sz="4" w:space="0" w:color="D0CECE"/>
      </w:pBdr>
      <w:shd w:val="clear" w:color="000000" w:fill="D0CECE"/>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92">
    <w:name w:val="xl92"/>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93">
    <w:name w:val="xl93"/>
    <w:basedOn w:val="Normal"/>
    <w:rsid w:val="00CA7A69"/>
    <w:pPr>
      <w:shd w:val="clear" w:color="000000" w:fill="503B00"/>
      <w:spacing w:before="100" w:beforeAutospacing="1" w:after="100" w:afterAutospacing="1" w:line="240" w:lineRule="auto"/>
      <w:jc w:val="center"/>
      <w:textAlignment w:val="center"/>
    </w:pPr>
    <w:rPr>
      <w:rFonts w:ascii="Times New Roman" w:eastAsia="Times New Roman" w:hAnsi="Times New Roman" w:cs="Times New Roman"/>
      <w:color w:val="000000"/>
      <w:sz w:val="14"/>
      <w:szCs w:val="14"/>
      <w:lang w:val="en-GB" w:eastAsia="en-GB"/>
    </w:rPr>
  </w:style>
  <w:style w:type="paragraph" w:customStyle="1" w:styleId="xl94">
    <w:name w:val="xl94"/>
    <w:basedOn w:val="Normal"/>
    <w:rsid w:val="00CA7A69"/>
    <w:pPr>
      <w:shd w:val="clear" w:color="000000" w:fill="CC99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95">
    <w:name w:val="xl95"/>
    <w:basedOn w:val="Normal"/>
    <w:rsid w:val="00CA7A69"/>
    <w:pPr>
      <w:shd w:val="clear" w:color="000000" w:fill="FFFF66"/>
      <w:spacing w:before="100" w:beforeAutospacing="1" w:after="100" w:afterAutospacing="1" w:line="240" w:lineRule="auto"/>
      <w:jc w:val="center"/>
      <w:textAlignment w:val="center"/>
    </w:pPr>
    <w:rPr>
      <w:rFonts w:ascii="Times New Roman" w:eastAsia="Times New Roman" w:hAnsi="Times New Roman" w:cs="Times New Roman"/>
      <w:color w:val="000000"/>
      <w:sz w:val="14"/>
      <w:szCs w:val="14"/>
      <w:lang w:val="en-GB" w:eastAsia="en-GB"/>
    </w:rPr>
  </w:style>
  <w:style w:type="paragraph" w:customStyle="1" w:styleId="xl96">
    <w:name w:val="xl96"/>
    <w:basedOn w:val="Normal"/>
    <w:rsid w:val="00CA7A69"/>
    <w:pPr>
      <w:shd w:val="clear" w:color="000000" w:fill="FFD966"/>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97">
    <w:name w:val="xl97"/>
    <w:basedOn w:val="Normal"/>
    <w:rsid w:val="00CA7A69"/>
    <w:pPr>
      <w:shd w:val="clear" w:color="000000" w:fill="DDEBF7"/>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98">
    <w:name w:val="xl98"/>
    <w:basedOn w:val="Normal"/>
    <w:rsid w:val="00CA7A69"/>
    <w:pPr>
      <w:pBdr>
        <w:bottom w:val="single" w:sz="4" w:space="0" w:color="D0CECE"/>
      </w:pBdr>
      <w:shd w:val="clear" w:color="000000" w:fill="CC99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99">
    <w:name w:val="xl99"/>
    <w:basedOn w:val="Normal"/>
    <w:rsid w:val="00CA7A69"/>
    <w:pPr>
      <w:pBdr>
        <w:bottom w:val="single" w:sz="4" w:space="0" w:color="D0CECE"/>
      </w:pBdr>
      <w:shd w:val="clear" w:color="000000" w:fill="DFECF7"/>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100">
    <w:name w:val="xl100"/>
    <w:basedOn w:val="Normal"/>
    <w:rsid w:val="00CA7A69"/>
    <w:pPr>
      <w:shd w:val="clear" w:color="000000" w:fill="DFECF7"/>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101">
    <w:name w:val="xl101"/>
    <w:basedOn w:val="Normal"/>
    <w:rsid w:val="00CA7A69"/>
    <w:pPr>
      <w:shd w:val="clear" w:color="000000" w:fill="CC99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102">
    <w:name w:val="xl102"/>
    <w:basedOn w:val="Normal"/>
    <w:rsid w:val="00CA7A6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4"/>
      <w:szCs w:val="14"/>
      <w:lang w:val="en-GB" w:eastAsia="en-GB"/>
    </w:rPr>
  </w:style>
  <w:style w:type="paragraph" w:customStyle="1" w:styleId="xl103">
    <w:name w:val="xl103"/>
    <w:basedOn w:val="Normal"/>
    <w:rsid w:val="00CA7A69"/>
    <w:pPr>
      <w:shd w:val="clear" w:color="000000" w:fill="FF9900"/>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104">
    <w:name w:val="xl104"/>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105">
    <w:name w:val="xl105"/>
    <w:basedOn w:val="Normal"/>
    <w:rsid w:val="00CA7A69"/>
    <w:pPr>
      <w:pBdr>
        <w:left w:val="single" w:sz="4" w:space="0" w:color="D0CECE"/>
        <w:right w:val="single" w:sz="4" w:space="0" w:color="D0CECE"/>
      </w:pBdr>
      <w:shd w:val="clear" w:color="000000" w:fill="F2F2F2"/>
      <w:spacing w:before="100" w:beforeAutospacing="1" w:after="100" w:afterAutospacing="1" w:line="240" w:lineRule="auto"/>
      <w:jc w:val="center"/>
    </w:pPr>
    <w:rPr>
      <w:rFonts w:ascii="Times New Roman" w:eastAsia="Times New Roman" w:hAnsi="Times New Roman" w:cs="Times New Roman"/>
      <w:b/>
      <w:bCs/>
      <w:sz w:val="18"/>
      <w:szCs w:val="18"/>
      <w:lang w:val="en-GB" w:eastAsia="en-GB"/>
    </w:rPr>
  </w:style>
  <w:style w:type="paragraph" w:customStyle="1" w:styleId="xl106">
    <w:name w:val="xl106"/>
    <w:basedOn w:val="Normal"/>
    <w:rsid w:val="00CA7A69"/>
    <w:pPr>
      <w:pBdr>
        <w:left w:val="single" w:sz="4" w:space="0" w:color="D0CECE"/>
        <w:right w:val="single" w:sz="4" w:space="0" w:color="D0CECE"/>
      </w:pBdr>
      <w:shd w:val="clear" w:color="000000" w:fill="F2F2F2"/>
      <w:spacing w:before="100" w:beforeAutospacing="1" w:after="100" w:afterAutospacing="1" w:line="240" w:lineRule="auto"/>
      <w:jc w:val="center"/>
    </w:pPr>
    <w:rPr>
      <w:rFonts w:ascii="Times New Roman" w:eastAsia="Times New Roman" w:hAnsi="Times New Roman" w:cs="Times New Roman"/>
      <w:sz w:val="14"/>
      <w:szCs w:val="14"/>
      <w:lang w:val="en-GB" w:eastAsia="en-GB"/>
    </w:rPr>
  </w:style>
  <w:style w:type="paragraph" w:customStyle="1" w:styleId="xl107">
    <w:name w:val="xl107"/>
    <w:basedOn w:val="Normal"/>
    <w:rsid w:val="00CA7A69"/>
    <w:pPr>
      <w:shd w:val="clear" w:color="000000" w:fill="FFCC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108">
    <w:name w:val="xl108"/>
    <w:basedOn w:val="Normal"/>
    <w:rsid w:val="00CA7A69"/>
    <w:pPr>
      <w:pBdr>
        <w:top w:val="single" w:sz="4" w:space="0" w:color="D0CECE"/>
      </w:pBdr>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109">
    <w:name w:val="xl109"/>
    <w:basedOn w:val="Normal"/>
    <w:rsid w:val="00CA7A69"/>
    <w:pPr>
      <w:pBdr>
        <w:top w:val="single" w:sz="4" w:space="0" w:color="D0CECE"/>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14"/>
      <w:szCs w:val="14"/>
      <w:lang w:val="en-GB" w:eastAsia="en-GB"/>
    </w:rPr>
  </w:style>
  <w:style w:type="paragraph" w:customStyle="1" w:styleId="xl110">
    <w:name w:val="xl110"/>
    <w:basedOn w:val="Normal"/>
    <w:rsid w:val="00CA7A69"/>
    <w:pPr>
      <w:shd w:val="clear" w:color="000000" w:fill="FFFFFF"/>
      <w:spacing w:before="100" w:beforeAutospacing="1" w:after="100" w:afterAutospacing="1" w:line="240" w:lineRule="auto"/>
      <w:textAlignment w:val="center"/>
    </w:pPr>
    <w:rPr>
      <w:rFonts w:ascii="Times New Roman" w:eastAsia="Times New Roman" w:hAnsi="Times New Roman" w:cs="Times New Roman"/>
      <w:sz w:val="14"/>
      <w:szCs w:val="14"/>
      <w:lang w:val="en-GB" w:eastAsia="en-GB"/>
    </w:rPr>
  </w:style>
  <w:style w:type="paragraph" w:customStyle="1" w:styleId="xl111">
    <w:name w:val="xl111"/>
    <w:basedOn w:val="Normal"/>
    <w:rsid w:val="00CA7A69"/>
    <w:pPr>
      <w:spacing w:before="100" w:beforeAutospacing="1" w:after="100" w:afterAutospacing="1" w:line="240" w:lineRule="auto"/>
      <w:jc w:val="both"/>
      <w:textAlignment w:val="center"/>
    </w:pPr>
    <w:rPr>
      <w:rFonts w:ascii="Times New Roman" w:eastAsia="Times New Roman" w:hAnsi="Times New Roman" w:cs="Times New Roman"/>
      <w:color w:val="000000"/>
      <w:sz w:val="14"/>
      <w:szCs w:val="14"/>
      <w:lang w:val="en-GB" w:eastAsia="en-GB"/>
    </w:rPr>
  </w:style>
  <w:style w:type="paragraph" w:customStyle="1" w:styleId="xl112">
    <w:name w:val="xl112"/>
    <w:basedOn w:val="Normal"/>
    <w:rsid w:val="00CA7A69"/>
    <w:pPr>
      <w:spacing w:before="100" w:beforeAutospacing="1" w:after="100" w:afterAutospacing="1" w:line="240" w:lineRule="auto"/>
      <w:jc w:val="both"/>
      <w:textAlignment w:val="center"/>
    </w:pPr>
    <w:rPr>
      <w:rFonts w:ascii="Times New Roman" w:eastAsia="Times New Roman" w:hAnsi="Times New Roman" w:cs="Times New Roman"/>
      <w:color w:val="000000"/>
      <w:sz w:val="14"/>
      <w:szCs w:val="14"/>
      <w:lang w:val="en-GB" w:eastAsia="en-GB"/>
    </w:rPr>
  </w:style>
  <w:style w:type="paragraph" w:styleId="BodyText">
    <w:name w:val="Body Text"/>
    <w:basedOn w:val="Normal"/>
    <w:link w:val="BodyTextChar"/>
    <w:unhideWhenUsed/>
    <w:rsid w:val="00CA7A69"/>
    <w:pPr>
      <w:spacing w:after="120" w:line="360" w:lineRule="auto"/>
      <w:jc w:val="both"/>
    </w:pPr>
    <w:rPr>
      <w:rFonts w:ascii="Times New Roman" w:eastAsia="Times New Roman" w:hAnsi="Times New Roman" w:cs="Times New Roman"/>
      <w:sz w:val="24"/>
      <w:szCs w:val="20"/>
      <w:lang w:eastAsia="it-IT"/>
    </w:rPr>
  </w:style>
  <w:style w:type="character" w:customStyle="1" w:styleId="BodyTextChar">
    <w:name w:val="Body Text Char"/>
    <w:basedOn w:val="DefaultParagraphFont"/>
    <w:link w:val="BodyText"/>
    <w:rsid w:val="00CA7A69"/>
    <w:rPr>
      <w:rFonts w:ascii="Times New Roman" w:eastAsia="Times New Roman" w:hAnsi="Times New Roman" w:cs="Times New Roman"/>
      <w:sz w:val="24"/>
      <w:szCs w:val="20"/>
      <w:lang w:eastAsia="it-IT"/>
    </w:rPr>
  </w:style>
  <w:style w:type="paragraph" w:styleId="BodyTextIndent">
    <w:name w:val="Body Text Indent"/>
    <w:basedOn w:val="Normal"/>
    <w:link w:val="BodyTextIndentChar"/>
    <w:rsid w:val="00CA7A69"/>
    <w:pPr>
      <w:spacing w:after="0" w:line="240" w:lineRule="auto"/>
      <w:ind w:firstLine="170"/>
      <w:jc w:val="both"/>
    </w:pPr>
    <w:rPr>
      <w:rFonts w:ascii="Times New Roman" w:eastAsia="Times New Roman" w:hAnsi="Times New Roman" w:cs="Times New Roman"/>
      <w:sz w:val="20"/>
      <w:szCs w:val="20"/>
      <w:lang w:val="en"/>
    </w:rPr>
  </w:style>
  <w:style w:type="character" w:customStyle="1" w:styleId="BodyTextIndentChar">
    <w:name w:val="Body Text Indent Char"/>
    <w:basedOn w:val="DefaultParagraphFont"/>
    <w:link w:val="BodyTextIndent"/>
    <w:rsid w:val="00CA7A69"/>
    <w:rPr>
      <w:rFonts w:ascii="Times New Roman" w:eastAsia="Times New Roman" w:hAnsi="Times New Roman" w:cs="Times New Roman"/>
      <w:sz w:val="20"/>
      <w:szCs w:val="20"/>
      <w:lang w:val="en"/>
    </w:rPr>
  </w:style>
  <w:style w:type="character" w:customStyle="1" w:styleId="cf01">
    <w:name w:val="cf01"/>
    <w:basedOn w:val="DefaultParagraphFont"/>
    <w:rsid w:val="00CA7A69"/>
    <w:rPr>
      <w:rFonts w:ascii="Segoe UI" w:hAnsi="Segoe UI" w:cs="Segoe UI" w:hint="default"/>
      <w:sz w:val="18"/>
      <w:szCs w:val="18"/>
    </w:rPr>
  </w:style>
  <w:style w:type="paragraph" w:customStyle="1" w:styleId="FigTab">
    <w:name w:val="Fig_Tab"/>
    <w:basedOn w:val="Normal"/>
    <w:link w:val="FigTabCarattere"/>
    <w:qFormat/>
    <w:rsid w:val="00CA7A69"/>
    <w:pPr>
      <w:spacing w:after="0" w:line="360" w:lineRule="auto"/>
      <w:jc w:val="center"/>
    </w:pPr>
    <w:rPr>
      <w:rFonts w:ascii="Times New Roman" w:eastAsia="Times New Roman" w:hAnsi="Times New Roman" w:cs="Times New Roman"/>
      <w:b/>
      <w:bCs/>
      <w:sz w:val="18"/>
      <w:szCs w:val="18"/>
      <w:lang w:val="es-ES"/>
    </w:rPr>
  </w:style>
  <w:style w:type="table" w:customStyle="1" w:styleId="Grigliatabellachiara1">
    <w:name w:val="Griglia tabella chiara1"/>
    <w:basedOn w:val="TableNormal"/>
    <w:next w:val="TableGridLight"/>
    <w:uiPriority w:val="40"/>
    <w:rsid w:val="00CA7A69"/>
    <w:pPr>
      <w:spacing w:after="0" w:line="240" w:lineRule="auto"/>
    </w:pPr>
    <w:rPr>
      <w:rFonts w:ascii="Times New Roman" w:eastAsia="Times New Roman" w:hAnsi="Times New Roman" w:cs="Times New Roman"/>
      <w:sz w:val="20"/>
      <w:szCs w:val="20"/>
      <w:lang w:val="en"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FigTabCarattere">
    <w:name w:val="Fig_Tab Carattere"/>
    <w:basedOn w:val="DefaultParagraphFont"/>
    <w:link w:val="FigTab"/>
    <w:rsid w:val="00CA7A69"/>
    <w:rPr>
      <w:rFonts w:ascii="Times New Roman" w:eastAsia="Times New Roman" w:hAnsi="Times New Roman" w:cs="Times New Roman"/>
      <w:b/>
      <w:bCs/>
      <w:sz w:val="18"/>
      <w:szCs w:val="18"/>
      <w:lang w:val="es-ES"/>
    </w:rPr>
  </w:style>
  <w:style w:type="character" w:customStyle="1" w:styleId="rynqvb">
    <w:name w:val="rynqvb"/>
    <w:basedOn w:val="DefaultParagraphFont"/>
    <w:rsid w:val="00CA7A69"/>
  </w:style>
  <w:style w:type="table" w:styleId="MediumList2-Accent6">
    <w:name w:val="Medium List 2 Accent 6"/>
    <w:basedOn w:val="TableNormal"/>
    <w:uiPriority w:val="66"/>
    <w:semiHidden/>
    <w:unhideWhenUsed/>
    <w:rsid w:val="00CA7A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CA7A69"/>
    <w:rPr>
      <w:color w:val="954F72" w:themeColor="followedHyperlink"/>
      <w:u w:val="single"/>
    </w:rPr>
  </w:style>
  <w:style w:type="paragraph" w:styleId="Index1">
    <w:name w:val="index 1"/>
    <w:basedOn w:val="Normal"/>
    <w:next w:val="Normal"/>
    <w:autoRedefine/>
    <w:uiPriority w:val="99"/>
    <w:semiHidden/>
    <w:unhideWhenUsed/>
    <w:rsid w:val="00CA7A69"/>
    <w:pPr>
      <w:spacing w:after="0" w:line="240" w:lineRule="auto"/>
      <w:ind w:left="220" w:hanging="220"/>
    </w:pPr>
  </w:style>
  <w:style w:type="table" w:styleId="TableGridLight">
    <w:name w:val="Grid Table Light"/>
    <w:basedOn w:val="TableNormal"/>
    <w:uiPriority w:val="40"/>
    <w:rsid w:val="00CA7A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AC50F-D7D8-4654-AF51-865C4A6F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9</Pages>
  <Words>19138</Words>
  <Characters>109088</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CNR Thermal2</dc:creator>
  <cp:keywords/>
  <dc:description/>
  <cp:lastModifiedBy>Yangzhe Chen</cp:lastModifiedBy>
  <cp:revision>49</cp:revision>
  <dcterms:created xsi:type="dcterms:W3CDTF">2024-05-08T09:43:00Z</dcterms:created>
  <dcterms:modified xsi:type="dcterms:W3CDTF">2024-06-18T14:13:00Z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b018d2b0-7420-3de9-8289-29f9a6313754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