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718096"/>
          <w:sz w:val="19"/>
        </w:rPr>
        <w:t>RESEARCH ARTICLE  |  APPLIED ARTIFICIAL INTELLIGENCE &amp; EPIDEMIOLOGY</w:t>
      </w:r>
    </w:p>
    <w:p>
      <w:pPr>
        <w:spacing w:before="80" w:after="160"/>
        <w:jc w:val="center"/>
      </w:pPr>
      <w:r>
        <w:rPr>
          <w:rFonts w:ascii="Calibri" w:hAnsi="Calibri"/>
          <w:b/>
          <w:color w:val="1B365D"/>
          <w:sz w:val="36"/>
        </w:rPr>
        <w:t>Forecasting Weekly Dengue Cases in Mindanao Cities Using Autoregressive Residual XGBoost and Lagged Meteorological Features</w:t>
      </w:r>
    </w:p>
    <w:p>
      <w:pPr>
        <w:spacing w:after="40"/>
        <w:jc w:val="center"/>
      </w:pPr>
      <w:r>
        <w:rPr>
          <w:rFonts w:ascii="Calibri" w:hAnsi="Calibri"/>
          <w:b/>
          <w:sz w:val="24"/>
        </w:rPr>
        <w:t>Kris Ian B. Bandiola  &amp;  Axel A. Balani</w:t>
      </w:r>
    </w:p>
    <w:p>
      <w:pPr>
        <w:spacing w:after="320"/>
        <w:jc w:val="center"/>
      </w:pPr>
      <w:r>
        <w:rPr>
          <w:rFonts w:ascii="Calibri" w:hAnsi="Calibri"/>
          <w:i/>
          <w:color w:val="4A5568"/>
          <w:sz w:val="20"/>
        </w:rPr>
        <w:t>Department of Computer Science, South Philippine Adventist College</w:t>
        <w:br/>
        <w:t>Matanao, Davao del Sur, Philippines  |  Specialization in Intelligent Systems</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Pr>
          <w:p>
            <w:pPr>
              <w:spacing w:after="120"/>
            </w:pPr>
            <w:r>
              <w:rPr>
                <w:rFonts w:ascii="Calibri" w:hAnsi="Calibri"/>
                <w:b/>
                <w:color w:val="1B365D"/>
                <w:sz w:val="22"/>
              </w:rPr>
              <w:t>ABSTRACT</w:t>
              <w:br/>
            </w:r>
            <w:r>
              <w:rPr>
                <w:rFonts w:ascii="Calibri" w:hAnsi="Calibri"/>
                <w:sz w:val="20"/>
              </w:rPr>
              <w:t>Dengue fever remains a recurrent and severe public health threat across the Philippines, imposing high morbidity on urban centers in Mindanao such as Davao City, Cagayan de Oro City, and Zamboanga City. Local health offices require reliable, operational forecasts two weeks ahead (t+2) to proactively deploy targeted vector control and hospital resources. However, short-horizon machine learning (ML) models historically struggle to outperform simple naive persistence benchmarks, especially when evaluated across sudden epidemiological disruptions such as the 2020–2021 COVID-19 pandemic shock. In this study, we demonstrate why standard gradient boosted decision trees fail under non-stationary regime shifts—identifying a severe level-shift extrapolation bias (+20.2 cases overprediction)—and propose an Autoregressive Residual XGBoost architecture that mathematically overcomes this limitation. By anchoring forecasts to the most recent observed case count and employing gradient boosting with robust L1 loss (reg:absoluteerror) to model trajectory innovations from 28 engineered meteorological, bioclimatic, and momentum predictors, our model beats persistence on all evaluated statistical dimensions. On a held-out, strictly chronological test panel (2020–2021; 144 city-weeks) following temporal training (2016–2019) and a 2-week embargo, Full XGBoost achieves a pooled Mean Absolute Error (MAE) of 5.94 cases (RMSE: 8.77, R²: 0.271), outperforming the Persistence baseline (MAE: 6.01, RMSE: 9.25, R²: 0.188) and Case-only XGBoost (MAE: 6.00, RMSE: 8.85, R²: 0.256). Across 10 independent random seeds, Full XGBoost demonstrates consistent, statistically significant superiority over persistence (Wilcoxon signed-rank test: W = 0.0, p = 0.0010) and case history alone (W = 0.0, p = 0.0010). These findings confirm that lagged weather covariates provide genuine predictive signal beyond case momentum and establish an operational, leakage-free framework for municipal epidemic early warning in the Philippines.</w:t>
            </w:r>
          </w:p>
          <w:p>
            <w:pPr>
              <w:spacing w:before="80" w:after="0"/>
            </w:pPr>
            <w:r>
              <w:rPr>
                <w:rFonts w:ascii="Calibri" w:hAnsi="Calibri"/>
                <w:b/>
                <w:sz w:val="20"/>
              </w:rPr>
              <w:t xml:space="preserve">Keywords: </w:t>
            </w:r>
            <w:r>
              <w:rPr>
                <w:rFonts w:ascii="Calibri" w:hAnsi="Calibri"/>
                <w:sz w:val="20"/>
              </w:rPr>
              <w:t>Dengue forecasting, XGBoost, Autoregressive residual boosting, Persistence benchmark, Mindanao epidemiology, Meteorological lags, Wilcoxon signed-rank test</w:t>
            </w:r>
          </w:p>
        </w:tc>
      </w:tr>
    </w:tbl>
    <w:p>
      <w:pPr>
        <w:spacing w:after="160"/>
      </w:pPr>
    </w:p>
    <w:p>
      <w:pPr>
        <w:keepNext/>
        <w:spacing w:before="280" w:after="80"/>
      </w:pPr>
      <w:r>
        <w:rPr>
          <w:rFonts w:ascii="Calibri" w:hAnsi="Calibri"/>
          <w:b/>
          <w:color w:val="1B365D"/>
          <w:sz w:val="28"/>
        </w:rPr>
        <w:t>1. INTRODUCTION</w:t>
      </w:r>
    </w:p>
    <w:p>
      <w:pPr>
        <w:keepNext/>
        <w:spacing w:before="200" w:after="60"/>
      </w:pPr>
      <w:r>
        <w:rPr>
          <w:rFonts w:ascii="Calibri" w:hAnsi="Calibri"/>
          <w:b/>
          <w:color w:val="2C5282"/>
          <w:sz w:val="24"/>
        </w:rPr>
        <w:t>1.1 Why Dengue Forecasting Matters</w:t>
      </w:r>
    </w:p>
    <w:p>
      <w:pPr>
        <w:spacing w:before="0" w:after="120" w:line="276" w:lineRule="auto"/>
      </w:pPr>
      <w:r>
        <w:rPr>
          <w:rFonts w:ascii="Calibri" w:hAnsi="Calibri"/>
          <w:sz w:val="22"/>
        </w:rPr>
        <w:t>Dengue fever has long been hyperendemic in the Philippines, imposing a chronic epidemiological and economic burden on vulnerable populations. Transmission is characterized by explosive, non-stationary epidemics driven by complex interactions between Aedes aegypti and Aedes albopictus mosquito vectors, shifting weather patterns, and human mobility. In weekly surveillance reports from the Department of Health (DOH), Mindanao frequently records substantial regional case shares. Major urban centers—notably Davao City, Cagayan de Oro City, and Zamboanga City—serve as primary commercial and transit hubs where microclimates and dense urban settlements create persistent breeding habitats.</w:t>
      </w:r>
    </w:p>
    <w:p>
      <w:pPr>
        <w:spacing w:before="0" w:after="120" w:line="276" w:lineRule="auto"/>
      </w:pPr>
      <w:r>
        <w:rPr>
          <w:rFonts w:ascii="Calibri" w:hAnsi="Calibri"/>
          <w:sz w:val="22"/>
        </w:rPr>
        <w:t>Municipal and provincial health offices face an operational dilemma. Traditional surveillance depends on passive clinical notifications, which are inherently retrospective: by the time case clusters are reported, local transmission chains have already expanded across barangays. Local health officers require reliable, two-week-ahead (t+2) forecasts of expected case counts to execute preemptive vector control (indoor residual spraying, targeted larviciding, clean-up drives) and to stage hospital beds, intravenous fluids, and diagnostic test kits before medical facilities become overwhelmed.</w:t>
      </w:r>
    </w:p>
    <w:p>
      <w:pPr>
        <w:keepNext/>
        <w:spacing w:before="200" w:after="60"/>
      </w:pPr>
      <w:r>
        <w:rPr>
          <w:rFonts w:ascii="Calibri" w:hAnsi="Calibri"/>
          <w:b/>
          <w:color w:val="2C5282"/>
          <w:sz w:val="24"/>
        </w:rPr>
        <w:t>1.2 The Persistence Challenge in Epidemic Modeling</w:t>
      </w:r>
    </w:p>
    <w:p>
      <w:pPr>
        <w:spacing w:before="0" w:after="120" w:line="276" w:lineRule="auto"/>
      </w:pPr>
      <w:r>
        <w:rPr>
          <w:rFonts w:ascii="Calibri" w:hAnsi="Calibri"/>
          <w:sz w:val="22"/>
        </w:rPr>
        <w:t>In time series forecasting and epidemiological modeling, the persistence (naive) benchmark—predicting that the future value will equal the most recently observed value—is universally recognized as a notoriously difficult baseline to beat over short forecast horizons. Because infectious diseases exhibit strong serial autocorrelation from one week to the next, the most recent case count (y_{t-1}) already captures the localized level of active transmission. Machine learning models frequently fail to outperform persistence out-of-sample, despite achieving impressive R² scores during training. This issue was acutely exacerbated during the 2020–2021 COVID-19 pandemic, during which lockdowns, school closures, and restricted movement abruptly collapsed dengue incidence across the Philippines from an average of ~66 cases per week down to ~13 cases per week. Standard decision tree regressors (such as default XGBoost) trained on raw counts suffer from severe level-shift extrapolation failures: when conditioned on historical weather patterns, tree leaves predict historical outbreak magnitudes (30–50 cases) even when current cases are under 10, resulting in catastrophic overprediction (+20.2 cases average bias).</w:t>
      </w:r>
    </w:p>
    <w:p>
      <w:pPr>
        <w:keepNext/>
        <w:spacing w:before="200" w:after="60"/>
      </w:pPr>
      <w:r>
        <w:rPr>
          <w:rFonts w:ascii="Calibri" w:hAnsi="Calibri"/>
          <w:b/>
          <w:color w:val="2C5282"/>
          <w:sz w:val="24"/>
        </w:rPr>
        <w:t>1.3 The Present Study</w:t>
      </w:r>
    </w:p>
    <w:p>
      <w:pPr>
        <w:spacing w:before="0" w:after="120" w:line="276" w:lineRule="auto"/>
      </w:pPr>
      <w:r>
        <w:rPr>
          <w:rFonts w:ascii="Calibri" w:hAnsi="Calibri"/>
          <w:sz w:val="22"/>
        </w:rPr>
        <w:t>This paper presents a complete, rigorous investigation that resolves the persistence challenge. We introduce an Autoregressive Residual XGBoost framework that anchors the forecast to the localized persistence baseline while employing gradient boosted trees with robust L1 loss (reg:absoluteerror) to model trajectory innovations (Δ_{t+2}) from 28 engineered meteorological, bioclimatic, and momentum features. Using real per-city weekly epidemiological and climate panels spanning 2016 through 2021 across Davao City, Cagayan de Oro City, and Zamboanga City, we demonstrate that this formulation consistently outperforms persistence and case-only baselines, providing statistically significant improvements verified via multi-seed Wilcoxon signed-rank testing and block-bootstrap confidence intervals.</w:t>
      </w:r>
    </w:p>
    <w:p>
      <w:pPr>
        <w:keepNext/>
        <w:spacing w:before="280" w:after="80"/>
      </w:pPr>
      <w:r>
        <w:rPr>
          <w:rFonts w:ascii="Calibri" w:hAnsi="Calibri"/>
          <w:b/>
          <w:color w:val="1B365D"/>
          <w:sz w:val="28"/>
        </w:rPr>
        <w:t>2. REVIEW OF RELATED LITERATURE AND SYNTHESIS</w:t>
      </w:r>
    </w:p>
    <w:p>
      <w:pPr>
        <w:spacing w:before="0" w:after="120" w:line="276" w:lineRule="auto"/>
      </w:pPr>
      <w:r>
        <w:rPr>
          <w:rFonts w:ascii="Calibri" w:hAnsi="Calibri"/>
          <w:sz w:val="22"/>
        </w:rPr>
        <w:t>Philippine epidemiological modeling has progressively integrated machine learning with meteorological records. Early landmark work by Carvajal et al. (2018) applied maximum entropy and neural network architectures to urban dengue in Metro Manila, confirming that rainfall, temperature, and relative humidity exhibit non-linear lagged correlations with mosquito oviposition and larval development. Subsequent work by Ligue and Ligue (2022) applied Long Short-Term Memory (LSTM) networks to regional time series, while Addawe et al. (2024) developed outbreak alert classifiers in Baguio City using Random Forests. Buebos-Esteve and Dagamac (2024) examined spatiotemporal modeling at the provincial scale, and recent work by Delena et al. (2026) in Zamboanga Sibugay evaluated localized tree ensembles.</w:t>
      </w:r>
    </w:p>
    <w:p>
      <w:pPr>
        <w:spacing w:before="0" w:after="120" w:line="276" w:lineRule="auto"/>
      </w:pPr>
      <w:r>
        <w:rPr>
          <w:rFonts w:ascii="Calibri" w:hAnsi="Calibri"/>
          <w:sz w:val="22"/>
        </w:rPr>
        <w:t>Despite these contributions, critical methodological limitations persist in the published literature. First, many prior studies applied random train/test splits (e.g., K-fold cross-validation), which introduce temporal data leakage by allowing future observations to inform past predictions. Second, few studies benchmark their proposed machine learning models against a strict persistence baseline on held-out test data. Third, very few studies isolate the unique marginal contribution of weather features through controlled predictive ablation under identical model families, splits, and tuning protocols.</w:t>
      </w:r>
    </w:p>
    <w:p>
      <w:pPr>
        <w:spacing w:before="0" w:after="120" w:line="276" w:lineRule="auto"/>
      </w:pPr>
      <w:r>
        <w:rPr>
          <w:rFonts w:ascii="Calibri" w:hAnsi="Calibri"/>
          <w:sz w:val="22"/>
        </w:rPr>
        <w:t>Table 1. Methodological comparison of related Philippine studies with the present research.</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120" w:type="dxa"/>
              <w:bottom w:w="120" w:type="dxa"/>
              <w:left w:w="140" w:type="dxa"/>
              <w:right w:w="140" w:type="dxa"/>
            </w:tcMar>
          </w:tcPr>
          <w:p>
            <w:pPr>
              <w:jc w:val="center"/>
            </w:pPr>
            <w:r>
              <w:rPr>
                <w:rFonts w:ascii="Calibri" w:hAnsi="Calibri"/>
                <w:b/>
                <w:color w:val="FFFFFF"/>
                <w:sz w:val="20"/>
              </w:rPr>
              <w:t>Study</w:t>
            </w:r>
          </w:p>
        </w:tc>
        <w:tc>
          <w:tcPr>
            <w:tcW w:type="dxa" w:w="1872"/>
            <w:shd w:fill="1B365D"/>
            <w:tcMar>
              <w:top w:w="120" w:type="dxa"/>
              <w:bottom w:w="120" w:type="dxa"/>
              <w:left w:w="140" w:type="dxa"/>
              <w:right w:w="140" w:type="dxa"/>
            </w:tcMar>
          </w:tcPr>
          <w:p>
            <w:pPr>
              <w:jc w:val="center"/>
            </w:pPr>
            <w:r>
              <w:rPr>
                <w:rFonts w:ascii="Calibri" w:hAnsi="Calibri"/>
                <w:b/>
                <w:color w:val="FFFFFF"/>
                <w:sz w:val="20"/>
              </w:rPr>
              <w:t>Geographic Scope</w:t>
            </w:r>
          </w:p>
        </w:tc>
        <w:tc>
          <w:tcPr>
            <w:tcW w:type="dxa" w:w="2016"/>
            <w:shd w:fill="1B365D"/>
            <w:tcMar>
              <w:top w:w="120" w:type="dxa"/>
              <w:bottom w:w="120" w:type="dxa"/>
              <w:left w:w="140" w:type="dxa"/>
              <w:right w:w="140" w:type="dxa"/>
            </w:tcMar>
          </w:tcPr>
          <w:p>
            <w:pPr>
              <w:jc w:val="center"/>
            </w:pPr>
            <w:r>
              <w:rPr>
                <w:rFonts w:ascii="Calibri" w:hAnsi="Calibri"/>
                <w:b/>
                <w:color w:val="FFFFFF"/>
                <w:sz w:val="20"/>
              </w:rPr>
              <w:t>Temporal Validation</w:t>
            </w:r>
          </w:p>
        </w:tc>
        <w:tc>
          <w:tcPr>
            <w:tcW w:type="dxa" w:w="1584"/>
            <w:shd w:fill="1B365D"/>
            <w:tcMar>
              <w:top w:w="120" w:type="dxa"/>
              <w:bottom w:w="120" w:type="dxa"/>
              <w:left w:w="140" w:type="dxa"/>
              <w:right w:w="140" w:type="dxa"/>
            </w:tcMar>
          </w:tcPr>
          <w:p>
            <w:pPr>
              <w:jc w:val="center"/>
            </w:pPr>
            <w:r>
              <w:rPr>
                <w:rFonts w:ascii="Calibri" w:hAnsi="Calibri"/>
                <w:b/>
                <w:color w:val="FFFFFF"/>
                <w:sz w:val="20"/>
              </w:rPr>
              <w:t>Benchmark Baseline</w:t>
            </w:r>
          </w:p>
        </w:tc>
        <w:tc>
          <w:tcPr>
            <w:tcW w:type="dxa" w:w="1728"/>
            <w:shd w:fill="1B365D"/>
            <w:tcMar>
              <w:top w:w="120" w:type="dxa"/>
              <w:bottom w:w="120" w:type="dxa"/>
              <w:left w:w="140" w:type="dxa"/>
              <w:right w:w="140" w:type="dxa"/>
            </w:tcMar>
          </w:tcPr>
          <w:p>
            <w:pPr>
              <w:jc w:val="center"/>
            </w:pPr>
            <w:r>
              <w:rPr>
                <w:rFonts w:ascii="Calibri" w:hAnsi="Calibri"/>
                <w:b/>
                <w:color w:val="FFFFFF"/>
                <w:sz w:val="20"/>
              </w:rPr>
              <w:t>Outperformed Persistence?</w:t>
            </w:r>
          </w:p>
        </w:tc>
      </w:tr>
      <w:tr>
        <w:tc>
          <w:tcPr>
            <w:tcW w:type="dxa" w:w="2160"/>
            <w:shd w:fill="FFFFFF"/>
            <w:tcMar>
              <w:top w:w="80" w:type="dxa"/>
              <w:bottom w:w="80" w:type="dxa"/>
              <w:left w:w="140" w:type="dxa"/>
              <w:right w:w="140" w:type="dxa"/>
            </w:tcMar>
          </w:tcPr>
          <w:p>
            <w:pPr>
              <w:jc w:val="left"/>
            </w:pPr>
            <w:r>
              <w:rPr>
                <w:rFonts w:ascii="Calibri" w:hAnsi="Calibri"/>
                <w:sz w:val="19"/>
              </w:rPr>
              <w:t>Carvajal et al. (2018)</w:t>
            </w:r>
          </w:p>
        </w:tc>
        <w:tc>
          <w:tcPr>
            <w:tcW w:type="dxa" w:w="1872"/>
            <w:shd w:fill="FFFFFF"/>
            <w:tcMar>
              <w:top w:w="80" w:type="dxa"/>
              <w:bottom w:w="80" w:type="dxa"/>
              <w:left w:w="140" w:type="dxa"/>
              <w:right w:w="140" w:type="dxa"/>
            </w:tcMar>
          </w:tcPr>
          <w:p>
            <w:pPr>
              <w:jc w:val="center"/>
            </w:pPr>
            <w:r>
              <w:rPr>
                <w:rFonts w:ascii="Calibri" w:hAnsi="Calibri"/>
                <w:sz w:val="19"/>
              </w:rPr>
              <w:t>Metro Manila</w:t>
            </w:r>
          </w:p>
        </w:tc>
        <w:tc>
          <w:tcPr>
            <w:tcW w:type="dxa" w:w="2016"/>
            <w:shd w:fill="FFFFFF"/>
            <w:tcMar>
              <w:top w:w="80" w:type="dxa"/>
              <w:bottom w:w="80" w:type="dxa"/>
              <w:left w:w="140" w:type="dxa"/>
              <w:right w:w="140" w:type="dxa"/>
            </w:tcMar>
          </w:tcPr>
          <w:p>
            <w:pPr>
              <w:jc w:val="center"/>
            </w:pPr>
            <w:r>
              <w:rPr>
                <w:rFonts w:ascii="Calibri" w:hAnsi="Calibri"/>
                <w:sz w:val="19"/>
              </w:rPr>
              <w:t>Random train/test split</w:t>
            </w:r>
          </w:p>
        </w:tc>
        <w:tc>
          <w:tcPr>
            <w:tcW w:type="dxa" w:w="1584"/>
            <w:shd w:fill="FFFFFF"/>
            <w:tcMar>
              <w:top w:w="80" w:type="dxa"/>
              <w:bottom w:w="80" w:type="dxa"/>
              <w:left w:w="140" w:type="dxa"/>
              <w:right w:w="140" w:type="dxa"/>
            </w:tcMar>
          </w:tcPr>
          <w:p>
            <w:pPr>
              <w:jc w:val="center"/>
            </w:pPr>
            <w:r>
              <w:rPr>
                <w:rFonts w:ascii="Calibri" w:hAnsi="Calibri"/>
                <w:sz w:val="19"/>
              </w:rPr>
              <w:t>Historical mean</w:t>
            </w:r>
          </w:p>
        </w:tc>
        <w:tc>
          <w:tcPr>
            <w:tcW w:type="dxa" w:w="1728"/>
            <w:shd w:fill="FFFFFF"/>
            <w:tcMar>
              <w:top w:w="80" w:type="dxa"/>
              <w:bottom w:w="80" w:type="dxa"/>
              <w:left w:w="140" w:type="dxa"/>
              <w:right w:w="140" w:type="dxa"/>
            </w:tcMar>
          </w:tcPr>
          <w:p>
            <w:pPr>
              <w:jc w:val="center"/>
            </w:pPr>
            <w:r>
              <w:rPr>
                <w:rFonts w:ascii="Calibri" w:hAnsi="Calibri"/>
                <w:sz w:val="19"/>
              </w:rPr>
              <w:t>Not evaluated against persistence</w:t>
            </w:r>
          </w:p>
        </w:tc>
      </w:tr>
      <w:tr>
        <w:tc>
          <w:tcPr>
            <w:tcW w:type="dxa" w:w="2160"/>
            <w:shd w:fill="F7FAFC"/>
            <w:tcMar>
              <w:top w:w="80" w:type="dxa"/>
              <w:bottom w:w="80" w:type="dxa"/>
              <w:left w:w="140" w:type="dxa"/>
              <w:right w:w="140" w:type="dxa"/>
            </w:tcMar>
          </w:tcPr>
          <w:p>
            <w:pPr>
              <w:jc w:val="left"/>
            </w:pPr>
            <w:r>
              <w:rPr>
                <w:rFonts w:ascii="Calibri" w:hAnsi="Calibri"/>
                <w:sz w:val="19"/>
              </w:rPr>
              <w:t>Ligue &amp; Ligue (2022)</w:t>
            </w:r>
          </w:p>
        </w:tc>
        <w:tc>
          <w:tcPr>
            <w:tcW w:type="dxa" w:w="1872"/>
            <w:shd w:fill="F7FAFC"/>
            <w:tcMar>
              <w:top w:w="80" w:type="dxa"/>
              <w:bottom w:w="80" w:type="dxa"/>
              <w:left w:w="140" w:type="dxa"/>
              <w:right w:w="140" w:type="dxa"/>
            </w:tcMar>
          </w:tcPr>
          <w:p>
            <w:pPr>
              <w:jc w:val="center"/>
            </w:pPr>
            <w:r>
              <w:rPr>
                <w:rFonts w:ascii="Calibri" w:hAnsi="Calibri"/>
                <w:sz w:val="19"/>
              </w:rPr>
              <w:t>National / Regional</w:t>
            </w:r>
          </w:p>
        </w:tc>
        <w:tc>
          <w:tcPr>
            <w:tcW w:type="dxa" w:w="2016"/>
            <w:shd w:fill="F7FAFC"/>
            <w:tcMar>
              <w:top w:w="80" w:type="dxa"/>
              <w:bottom w:w="80" w:type="dxa"/>
              <w:left w:w="140" w:type="dxa"/>
              <w:right w:w="140" w:type="dxa"/>
            </w:tcMar>
          </w:tcPr>
          <w:p>
            <w:pPr>
              <w:jc w:val="center"/>
            </w:pPr>
            <w:r>
              <w:rPr>
                <w:rFonts w:ascii="Calibri" w:hAnsi="Calibri"/>
                <w:sz w:val="19"/>
              </w:rPr>
              <w:t>Chronological split</w:t>
            </w:r>
          </w:p>
        </w:tc>
        <w:tc>
          <w:tcPr>
            <w:tcW w:type="dxa" w:w="1584"/>
            <w:shd w:fill="F7FAFC"/>
            <w:tcMar>
              <w:top w:w="80" w:type="dxa"/>
              <w:bottom w:w="80" w:type="dxa"/>
              <w:left w:w="140" w:type="dxa"/>
              <w:right w:w="140" w:type="dxa"/>
            </w:tcMar>
          </w:tcPr>
          <w:p>
            <w:pPr>
              <w:jc w:val="center"/>
            </w:pPr>
            <w:r>
              <w:rPr>
                <w:rFonts w:ascii="Calibri" w:hAnsi="Calibri"/>
                <w:sz w:val="19"/>
              </w:rPr>
              <w:t>ARIMA / Naive</w:t>
            </w:r>
          </w:p>
        </w:tc>
        <w:tc>
          <w:tcPr>
            <w:tcW w:type="dxa" w:w="1728"/>
            <w:shd w:fill="F7FAFC"/>
            <w:tcMar>
              <w:top w:w="80" w:type="dxa"/>
              <w:bottom w:w="80" w:type="dxa"/>
              <w:left w:w="140" w:type="dxa"/>
              <w:right w:w="140" w:type="dxa"/>
            </w:tcMar>
          </w:tcPr>
          <w:p>
            <w:pPr>
              <w:jc w:val="center"/>
            </w:pPr>
            <w:r>
              <w:rPr>
                <w:rFonts w:ascii="Calibri" w:hAnsi="Calibri"/>
                <w:sz w:val="19"/>
              </w:rPr>
              <w:t>Mixed; LSTM struggled on level shifts</w:t>
            </w:r>
          </w:p>
        </w:tc>
      </w:tr>
      <w:tr>
        <w:tc>
          <w:tcPr>
            <w:tcW w:type="dxa" w:w="2160"/>
            <w:shd w:fill="FFFFFF"/>
            <w:tcMar>
              <w:top w:w="80" w:type="dxa"/>
              <w:bottom w:w="80" w:type="dxa"/>
              <w:left w:w="140" w:type="dxa"/>
              <w:right w:w="140" w:type="dxa"/>
            </w:tcMar>
          </w:tcPr>
          <w:p>
            <w:pPr>
              <w:jc w:val="left"/>
            </w:pPr>
            <w:r>
              <w:rPr>
                <w:rFonts w:ascii="Calibri" w:hAnsi="Calibri"/>
                <w:sz w:val="19"/>
              </w:rPr>
              <w:t>Addawe et al. (2024)</w:t>
            </w:r>
          </w:p>
        </w:tc>
        <w:tc>
          <w:tcPr>
            <w:tcW w:type="dxa" w:w="1872"/>
            <w:shd w:fill="FFFFFF"/>
            <w:tcMar>
              <w:top w:w="80" w:type="dxa"/>
              <w:bottom w:w="80" w:type="dxa"/>
              <w:left w:w="140" w:type="dxa"/>
              <w:right w:w="140" w:type="dxa"/>
            </w:tcMar>
          </w:tcPr>
          <w:p>
            <w:pPr>
              <w:jc w:val="center"/>
            </w:pPr>
            <w:r>
              <w:rPr>
                <w:rFonts w:ascii="Calibri" w:hAnsi="Calibri"/>
                <w:sz w:val="19"/>
              </w:rPr>
              <w:t>Baguio City</w:t>
            </w:r>
          </w:p>
        </w:tc>
        <w:tc>
          <w:tcPr>
            <w:tcW w:type="dxa" w:w="2016"/>
            <w:shd w:fill="FFFFFF"/>
            <w:tcMar>
              <w:top w:w="80" w:type="dxa"/>
              <w:bottom w:w="80" w:type="dxa"/>
              <w:left w:w="140" w:type="dxa"/>
              <w:right w:w="140" w:type="dxa"/>
            </w:tcMar>
          </w:tcPr>
          <w:p>
            <w:pPr>
              <w:jc w:val="center"/>
            </w:pPr>
            <w:r>
              <w:rPr>
                <w:rFonts w:ascii="Calibri" w:hAnsi="Calibri"/>
                <w:sz w:val="19"/>
              </w:rPr>
              <w:t>K-fold cross-validation</w:t>
            </w:r>
          </w:p>
        </w:tc>
        <w:tc>
          <w:tcPr>
            <w:tcW w:type="dxa" w:w="1584"/>
            <w:shd w:fill="FFFFFF"/>
            <w:tcMar>
              <w:top w:w="80" w:type="dxa"/>
              <w:bottom w:w="80" w:type="dxa"/>
              <w:left w:w="140" w:type="dxa"/>
              <w:right w:w="140" w:type="dxa"/>
            </w:tcMar>
          </w:tcPr>
          <w:p>
            <w:pPr>
              <w:jc w:val="center"/>
            </w:pPr>
            <w:r>
              <w:rPr>
                <w:rFonts w:ascii="Calibri" w:hAnsi="Calibri"/>
                <w:sz w:val="19"/>
              </w:rPr>
              <w:t>Zero-rule classifier</w:t>
            </w:r>
          </w:p>
        </w:tc>
        <w:tc>
          <w:tcPr>
            <w:tcW w:type="dxa" w:w="1728"/>
            <w:shd w:fill="FFFFFF"/>
            <w:tcMar>
              <w:top w:w="80" w:type="dxa"/>
              <w:bottom w:w="80" w:type="dxa"/>
              <w:left w:w="140" w:type="dxa"/>
              <w:right w:w="140" w:type="dxa"/>
            </w:tcMar>
          </w:tcPr>
          <w:p>
            <w:pPr>
              <w:jc w:val="center"/>
            </w:pPr>
            <w:r>
              <w:rPr>
                <w:rFonts w:ascii="Calibri" w:hAnsi="Calibri"/>
                <w:sz w:val="19"/>
              </w:rPr>
              <w:t>Classification only; no count persistence</w:t>
            </w:r>
          </w:p>
        </w:tc>
      </w:tr>
      <w:tr>
        <w:tc>
          <w:tcPr>
            <w:tcW w:type="dxa" w:w="2160"/>
            <w:shd w:fill="F7FAFC"/>
            <w:tcMar>
              <w:top w:w="80" w:type="dxa"/>
              <w:bottom w:w="80" w:type="dxa"/>
              <w:left w:w="140" w:type="dxa"/>
              <w:right w:w="140" w:type="dxa"/>
            </w:tcMar>
          </w:tcPr>
          <w:p>
            <w:pPr>
              <w:jc w:val="left"/>
            </w:pPr>
            <w:r>
              <w:rPr>
                <w:rFonts w:ascii="Calibri" w:hAnsi="Calibri"/>
                <w:sz w:val="19"/>
              </w:rPr>
              <w:t>Delena et al. (2026)</w:t>
            </w:r>
          </w:p>
        </w:tc>
        <w:tc>
          <w:tcPr>
            <w:tcW w:type="dxa" w:w="1872"/>
            <w:shd w:fill="F7FAFC"/>
            <w:tcMar>
              <w:top w:w="80" w:type="dxa"/>
              <w:bottom w:w="80" w:type="dxa"/>
              <w:left w:w="140" w:type="dxa"/>
              <w:right w:w="140" w:type="dxa"/>
            </w:tcMar>
          </w:tcPr>
          <w:p>
            <w:pPr>
              <w:jc w:val="center"/>
            </w:pPr>
            <w:r>
              <w:rPr>
                <w:rFonts w:ascii="Calibri" w:hAnsi="Calibri"/>
                <w:sz w:val="19"/>
              </w:rPr>
              <w:t>Zamboanga Sibugay</w:t>
            </w:r>
          </w:p>
        </w:tc>
        <w:tc>
          <w:tcPr>
            <w:tcW w:type="dxa" w:w="2016"/>
            <w:shd w:fill="F7FAFC"/>
            <w:tcMar>
              <w:top w:w="80" w:type="dxa"/>
              <w:bottom w:w="80" w:type="dxa"/>
              <w:left w:w="140" w:type="dxa"/>
              <w:right w:w="140" w:type="dxa"/>
            </w:tcMar>
          </w:tcPr>
          <w:p>
            <w:pPr>
              <w:jc w:val="center"/>
            </w:pPr>
            <w:r>
              <w:rPr>
                <w:rFonts w:ascii="Calibri" w:hAnsi="Calibri"/>
                <w:sz w:val="19"/>
              </w:rPr>
              <w:t>Random train/test split</w:t>
            </w:r>
          </w:p>
        </w:tc>
        <w:tc>
          <w:tcPr>
            <w:tcW w:type="dxa" w:w="1584"/>
            <w:shd w:fill="F7FAFC"/>
            <w:tcMar>
              <w:top w:w="80" w:type="dxa"/>
              <w:bottom w:w="80" w:type="dxa"/>
              <w:left w:w="140" w:type="dxa"/>
              <w:right w:w="140" w:type="dxa"/>
            </w:tcMar>
          </w:tcPr>
          <w:p>
            <w:pPr>
              <w:jc w:val="center"/>
            </w:pPr>
            <w:r>
              <w:rPr>
                <w:rFonts w:ascii="Calibri" w:hAnsi="Calibri"/>
                <w:sz w:val="19"/>
              </w:rPr>
              <w:t>Linear regression</w:t>
            </w:r>
          </w:p>
        </w:tc>
        <w:tc>
          <w:tcPr>
            <w:tcW w:type="dxa" w:w="1728"/>
            <w:shd w:fill="F7FAFC"/>
            <w:tcMar>
              <w:top w:w="80" w:type="dxa"/>
              <w:bottom w:w="80" w:type="dxa"/>
              <w:left w:w="140" w:type="dxa"/>
              <w:right w:w="140" w:type="dxa"/>
            </w:tcMar>
          </w:tcPr>
          <w:p>
            <w:pPr>
              <w:jc w:val="center"/>
            </w:pPr>
            <w:r>
              <w:rPr>
                <w:rFonts w:ascii="Calibri" w:hAnsi="Calibri"/>
                <w:sz w:val="19"/>
              </w:rPr>
              <w:t>Persistence omitted</w:t>
            </w:r>
          </w:p>
        </w:tc>
      </w:tr>
      <w:tr>
        <w:tc>
          <w:tcPr>
            <w:tcW w:type="dxa" w:w="2160"/>
            <w:shd w:fill="FFFFFF"/>
            <w:tcMar>
              <w:top w:w="80" w:type="dxa"/>
              <w:bottom w:w="80" w:type="dxa"/>
              <w:left w:w="140" w:type="dxa"/>
              <w:right w:w="140" w:type="dxa"/>
            </w:tcMar>
          </w:tcPr>
          <w:p>
            <w:pPr>
              <w:jc w:val="left"/>
            </w:pPr>
            <w:r>
              <w:rPr>
                <w:rFonts w:ascii="Calibri" w:hAnsi="Calibri"/>
                <w:sz w:val="19"/>
              </w:rPr>
              <w:t>Present Study (2026)</w:t>
            </w:r>
          </w:p>
        </w:tc>
        <w:tc>
          <w:tcPr>
            <w:tcW w:type="dxa" w:w="1872"/>
            <w:shd w:fill="FFFFFF"/>
            <w:tcMar>
              <w:top w:w="80" w:type="dxa"/>
              <w:bottom w:w="80" w:type="dxa"/>
              <w:left w:w="140" w:type="dxa"/>
              <w:right w:w="140" w:type="dxa"/>
            </w:tcMar>
          </w:tcPr>
          <w:p>
            <w:pPr>
              <w:jc w:val="center"/>
            </w:pPr>
            <w:r>
              <w:rPr>
                <w:rFonts w:ascii="Calibri" w:hAnsi="Calibri"/>
                <w:sz w:val="19"/>
              </w:rPr>
              <w:t>Davao, CDO, Zamboanga</w:t>
            </w:r>
          </w:p>
        </w:tc>
        <w:tc>
          <w:tcPr>
            <w:tcW w:type="dxa" w:w="2016"/>
            <w:shd w:fill="FFFFFF"/>
            <w:tcMar>
              <w:top w:w="80" w:type="dxa"/>
              <w:bottom w:w="80" w:type="dxa"/>
              <w:left w:w="140" w:type="dxa"/>
              <w:right w:w="140" w:type="dxa"/>
            </w:tcMar>
          </w:tcPr>
          <w:p>
            <w:pPr>
              <w:jc w:val="center"/>
            </w:pPr>
            <w:r>
              <w:rPr>
                <w:rFonts w:ascii="Calibri" w:hAnsi="Calibri"/>
                <w:sz w:val="19"/>
              </w:rPr>
              <w:t>Strict 70/30 chronological + 2-wk embargo</w:t>
            </w:r>
          </w:p>
        </w:tc>
        <w:tc>
          <w:tcPr>
            <w:tcW w:type="dxa" w:w="1584"/>
            <w:shd w:fill="FFFFFF"/>
            <w:tcMar>
              <w:top w:w="80" w:type="dxa"/>
              <w:bottom w:w="80" w:type="dxa"/>
              <w:left w:w="140" w:type="dxa"/>
              <w:right w:w="140" w:type="dxa"/>
            </w:tcMar>
          </w:tcPr>
          <w:p>
            <w:pPr>
              <w:jc w:val="center"/>
            </w:pPr>
            <w:r>
              <w:rPr>
                <w:rFonts w:ascii="Calibri" w:hAnsi="Calibri"/>
                <w:sz w:val="19"/>
              </w:rPr>
              <w:t>Persistence (cases_lag1)</w:t>
            </w:r>
          </w:p>
        </w:tc>
        <w:tc>
          <w:tcPr>
            <w:tcW w:type="dxa" w:w="1728"/>
            <w:shd w:fill="FFFFFF"/>
            <w:tcMar>
              <w:top w:w="80" w:type="dxa"/>
              <w:bottom w:w="80" w:type="dxa"/>
              <w:left w:w="140" w:type="dxa"/>
              <w:right w:w="140" w:type="dxa"/>
            </w:tcMar>
          </w:tcPr>
          <w:p>
            <w:pPr>
              <w:jc w:val="center"/>
            </w:pPr>
            <w:r>
              <w:rPr>
                <w:rFonts w:ascii="Calibri" w:hAnsi="Calibri"/>
                <w:sz w:val="19"/>
              </w:rPr>
              <w:t>YES (p = 0.0010, Wilcoxon test)</w:t>
            </w:r>
          </w:p>
        </w:tc>
      </w:tr>
    </w:tbl>
    <w:p>
      <w:pPr>
        <w:spacing w:before="0" w:after="120"/>
      </w:pPr>
    </w:p>
    <w:p>
      <w:pPr>
        <w:keepNext/>
        <w:spacing w:before="280" w:after="80"/>
      </w:pPr>
      <w:r>
        <w:rPr>
          <w:rFonts w:ascii="Calibri" w:hAnsi="Calibri"/>
          <w:b/>
          <w:color w:val="1B365D"/>
          <w:sz w:val="28"/>
        </w:rPr>
        <w:t>3. RESEARCH GAP AND NOVEL CONTRIBUTION</w:t>
      </w:r>
    </w:p>
    <w:p>
      <w:pPr>
        <w:spacing w:before="0" w:after="120" w:line="276" w:lineRule="auto"/>
      </w:pPr>
      <w:r>
        <w:rPr>
          <w:rFonts w:ascii="Calibri" w:hAnsi="Calibri"/>
          <w:sz w:val="22"/>
        </w:rPr>
        <w:t>The primary research gap addressed by this study is the lack of an operational machine learning methodology capable of consistently defeating simple persistence benchmarks on municipal Mindanao dengue panels under severe pandemic-era regime shifts without temporal leakage.</w:t>
      </w:r>
    </w:p>
    <w:p>
      <w:pPr>
        <w:spacing w:before="0" w:after="120" w:line="276" w:lineRule="auto"/>
      </w:pPr>
      <w:r>
        <w:rPr>
          <w:rFonts w:ascii="Calibri" w:hAnsi="Calibri"/>
          <w:b/>
          <w:sz w:val="22"/>
        </w:rPr>
        <w:t xml:space="preserve">Novel Contributions: </w:t>
      </w:r>
      <w:r>
        <w:rPr>
          <w:rFonts w:ascii="Calibri" w:hAnsi="Calibri"/>
          <w:sz w:val="22"/>
        </w:rPr>
        <w:t>This study delivers three distinct contributions:</w:t>
      </w:r>
    </w:p>
    <w:p>
      <w:pPr>
        <w:spacing w:before="0" w:after="60" w:line="276" w:lineRule="auto"/>
      </w:pPr>
      <w:r>
        <w:rPr>
          <w:rFonts w:ascii="Calibri" w:hAnsi="Calibri"/>
          <w:sz w:val="22"/>
        </w:rPr>
        <w:t>1. Autoregressive Residual Innovation Boosting: A mathematically principled formulation that anchors forecasts to recent epidemiological case levels while using XGBoost to model directional trajectory innovations, completely eliminating the positive level-shift bias of standard decision trees.</w:t>
      </w:r>
    </w:p>
    <w:p>
      <w:pPr>
        <w:spacing w:before="0" w:after="60" w:line="276" w:lineRule="auto"/>
      </w:pPr>
      <w:r>
        <w:rPr>
          <w:rFonts w:ascii="Calibri" w:hAnsi="Calibri"/>
          <w:sz w:val="22"/>
        </w:rPr>
        <w:t>2. Leakage-Free Temporal Validation with Embargo: A strictly chronological multi-city panel design (train: 2016–2019, test: 2020–2021) separated by a 2-week embargo to eliminate lag-window overlap, paired with multi-city temporal forward-chaining cross-validation.</w:t>
      </w:r>
    </w:p>
    <w:p>
      <w:pPr>
        <w:spacing w:before="0" w:after="120" w:line="276" w:lineRule="auto"/>
      </w:pPr>
      <w:r>
        <w:rPr>
          <w:rFonts w:ascii="Calibri" w:hAnsi="Calibri"/>
          <w:sz w:val="22"/>
        </w:rPr>
        <w:t>3. Rigorous Statistical &amp; Ablation Benchmarking: Comprehensive verification across 10 random seeds using one-tailed Wilcoxon signed-rank tests and block-bootstrap 95% confidence intervals, proving that weather features provide statistically significant predictive signal beyond case momentum alone.</w:t>
      </w:r>
    </w:p>
    <w:p>
      <w:pPr>
        <w:keepNext/>
        <w:spacing w:before="280" w:after="80"/>
      </w:pPr>
      <w:r>
        <w:rPr>
          <w:rFonts w:ascii="Calibri" w:hAnsi="Calibri"/>
          <w:b/>
          <w:color w:val="1B365D"/>
          <w:sz w:val="28"/>
        </w:rPr>
        <w:t>4. RESEARCH QUESTIONS, OBJECTIVES, AND HYPOTHESES</w:t>
      </w:r>
    </w:p>
    <w:p>
      <w:pPr>
        <w:spacing w:before="0" w:after="120" w:line="276" w:lineRule="auto"/>
      </w:pPr>
      <w:r>
        <w:rPr>
          <w:rFonts w:ascii="Calibri" w:hAnsi="Calibri"/>
          <w:sz w:val="22"/>
        </w:rPr>
        <w:t>Standard gradient-boosted decision trees trained on raw dengue counts fail catastrophically under non-stationary epidemic dynamics (e.g., COVID-19 regime shifts), producing +20.2-case average overprediction bias. This motivated a primary methodological question about how to architect a model that is immune to such level-shift failures, before the downstream empirical questions of accuracy and generalization could be meaningfully addressed. The study is therefore organized around one architectural framing question (RQ0) and three empirical questions (RQ1–RQ3).</w:t>
      </w:r>
    </w:p>
    <w:p>
      <w:pPr>
        <w:spacing w:before="0" w:after="120" w:line="276" w:lineRule="auto"/>
      </w:pPr>
      <w:r>
        <w:rPr>
          <w:rFonts w:ascii="Calibri" w:hAnsi="Calibri"/>
          <w:sz w:val="22"/>
        </w:rPr>
        <w:t>RQ0: How does the predictive performance of an autoregressive residual innovation formulation compare to standard level-based gradient boosting under non-stationary epidemic regime shifts?</w:t>
      </w:r>
    </w:p>
    <w:p>
      <w:pPr>
        <w:spacing w:before="0" w:after="120" w:line="276" w:lineRule="auto"/>
      </w:pPr>
      <w:r>
        <w:rPr>
          <w:rFonts w:ascii="Calibri" w:hAnsi="Calibri"/>
          <w:sz w:val="22"/>
        </w:rPr>
        <w:t>RQ1: To what extent does the proposed Autoregressive Residual XGBoost model improve forecast accuracy over the naive persistence baseline on the held-out 2020–2021 test set?</w:t>
      </w:r>
    </w:p>
    <w:p>
      <w:pPr>
        <w:spacing w:before="0" w:after="120" w:line="276" w:lineRule="auto"/>
      </w:pPr>
      <w:r>
        <w:rPr>
          <w:rFonts w:ascii="Calibri" w:hAnsi="Calibri"/>
          <w:sz w:val="22"/>
        </w:rPr>
        <w:t>RQ2: What is the marginal predictive contribution of lagged meteorological and bioclimatic features when added to recent dengue case history alone?</w:t>
      </w:r>
    </w:p>
    <w:p>
      <w:pPr>
        <w:spacing w:before="0" w:after="120" w:line="276" w:lineRule="auto"/>
      </w:pPr>
      <w:r>
        <w:rPr>
          <w:rFonts w:ascii="Calibri" w:hAnsi="Calibri"/>
          <w:sz w:val="22"/>
        </w:rPr>
        <w:t>RQ3: To what extent do forecast accuracy and the predictive value of meteorological features vary across Davao City, Cagayan de Oro City, and Zamboanga City?</w:t>
      </w:r>
    </w:p>
    <w:p>
      <w:pPr>
        <w:spacing w:before="0" w:after="120" w:line="276" w:lineRule="auto"/>
      </w:pPr>
      <w:r>
        <w:rPr>
          <w:rFonts w:ascii="Calibri" w:hAnsi="Calibri"/>
          <w:sz w:val="22"/>
        </w:rPr>
        <w:t>Table 2. Formal alignment of research questions, objectives, hypotheses, and decision outcomes.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1B365D"/>
            <w:tcMar>
              <w:top w:w="120" w:type="dxa"/>
              <w:bottom w:w="120" w:type="dxa"/>
              <w:left w:w="140" w:type="dxa"/>
              <w:right w:w="140" w:type="dxa"/>
            </w:tcMar>
          </w:tcPr>
          <w:p>
            <w:pPr>
              <w:jc w:val="center"/>
            </w:pPr>
            <w:r>
              <w:rPr>
                <w:rFonts w:ascii="Calibri" w:hAnsi="Calibri"/>
                <w:b/>
                <w:color w:val="FFFFFF"/>
                <w:sz w:val="20"/>
              </w:rPr>
              <w:t>Item</w:t>
            </w:r>
          </w:p>
        </w:tc>
        <w:tc>
          <w:tcPr>
            <w:tcW w:type="dxa" w:w="2160"/>
            <w:shd w:fill="1B365D"/>
            <w:tcMar>
              <w:top w:w="120" w:type="dxa"/>
              <w:bottom w:w="120" w:type="dxa"/>
              <w:left w:w="140" w:type="dxa"/>
              <w:right w:w="140" w:type="dxa"/>
            </w:tcMar>
          </w:tcPr>
          <w:p>
            <w:pPr>
              <w:jc w:val="center"/>
            </w:pPr>
            <w:r>
              <w:rPr>
                <w:rFonts w:ascii="Calibri" w:hAnsi="Calibri"/>
                <w:b/>
                <w:color w:val="FFFFFF"/>
                <w:sz w:val="20"/>
              </w:rPr>
              <w:t>Objective (SO)</w:t>
            </w:r>
          </w:p>
        </w:tc>
        <w:tc>
          <w:tcPr>
            <w:tcW w:type="dxa" w:w="2304"/>
            <w:shd w:fill="1B365D"/>
            <w:tcMar>
              <w:top w:w="120" w:type="dxa"/>
              <w:bottom w:w="120" w:type="dxa"/>
              <w:left w:w="140" w:type="dxa"/>
              <w:right w:w="140" w:type="dxa"/>
            </w:tcMar>
          </w:tcPr>
          <w:p>
            <w:pPr>
              <w:jc w:val="center"/>
            </w:pPr>
            <w:r>
              <w:rPr>
                <w:rFonts w:ascii="Calibri" w:hAnsi="Calibri"/>
                <w:b/>
                <w:color w:val="FFFFFF"/>
                <w:sz w:val="20"/>
              </w:rPr>
              <w:t>Hypothesis (H)</w:t>
            </w:r>
          </w:p>
        </w:tc>
        <w:tc>
          <w:tcPr>
            <w:tcW w:type="dxa" w:w="1872"/>
            <w:shd w:fill="1B365D"/>
            <w:tcMar>
              <w:top w:w="120" w:type="dxa"/>
              <w:bottom w:w="120" w:type="dxa"/>
              <w:left w:w="140" w:type="dxa"/>
              <w:right w:w="140" w:type="dxa"/>
            </w:tcMar>
          </w:tcPr>
          <w:p>
            <w:pPr>
              <w:jc w:val="center"/>
            </w:pPr>
            <w:r>
              <w:rPr>
                <w:rFonts w:ascii="Calibri" w:hAnsi="Calibri"/>
                <w:b/>
                <w:color w:val="FFFFFF"/>
                <w:sz w:val="20"/>
              </w:rPr>
              <w:t>Evaluation Rule</w:t>
            </w:r>
          </w:p>
        </w:tc>
        <w:tc>
          <w:tcPr>
            <w:tcW w:type="dxa" w:w="2160"/>
            <w:shd w:fill="1B365D"/>
            <w:tcMar>
              <w:top w:w="120" w:type="dxa"/>
              <w:bottom w:w="120" w:type="dxa"/>
              <w:left w:w="140" w:type="dxa"/>
              <w:right w:w="140" w:type="dxa"/>
            </w:tcMar>
          </w:tcPr>
          <w:p>
            <w:pPr>
              <w:jc w:val="center"/>
            </w:pPr>
            <w:r>
              <w:rPr>
                <w:rFonts w:ascii="Calibri" w:hAnsi="Calibri"/>
                <w:b/>
                <w:color w:val="FFFFFF"/>
                <w:sz w:val="20"/>
              </w:rPr>
              <w:t>Empirical Outcome</w:t>
            </w:r>
          </w:p>
        </w:tc>
      </w:tr>
      <w:tr>
        <w:tc>
          <w:tcPr>
            <w:tcW w:type="dxa" w:w="864"/>
            <w:shd w:fill="FFFFFF"/>
            <w:tcMar>
              <w:top w:w="80" w:type="dxa"/>
              <w:bottom w:w="80" w:type="dxa"/>
              <w:left w:w="140" w:type="dxa"/>
              <w:right w:w="140" w:type="dxa"/>
            </w:tcMar>
          </w:tcPr>
          <w:p>
            <w:pPr>
              <w:jc w:val="left"/>
            </w:pPr>
            <w:r>
              <w:rPr>
                <w:rFonts w:ascii="Calibri" w:hAnsi="Calibri"/>
                <w:sz w:val="19"/>
              </w:rPr>
              <w:t>RQ0</w:t>
            </w:r>
          </w:p>
        </w:tc>
        <w:tc>
          <w:tcPr>
            <w:tcW w:type="dxa" w:w="2160"/>
            <w:shd w:fill="FFFFFF"/>
            <w:tcMar>
              <w:top w:w="80" w:type="dxa"/>
              <w:bottom w:w="80" w:type="dxa"/>
              <w:left w:w="140" w:type="dxa"/>
              <w:right w:w="140" w:type="dxa"/>
            </w:tcMar>
          </w:tcPr>
          <w:p>
            <w:pPr>
              <w:jc w:val="center"/>
            </w:pPr>
            <w:r>
              <w:rPr>
                <w:rFonts w:ascii="Calibri" w:hAnsi="Calibri"/>
                <w:sz w:val="19"/>
              </w:rPr>
              <w:t>Evaluate AR-Residual architecture vs standard level-based boosting</w:t>
            </w:r>
          </w:p>
        </w:tc>
        <w:tc>
          <w:tcPr>
            <w:tcW w:type="dxa" w:w="2304"/>
            <w:shd w:fill="FFFFFF"/>
            <w:tcMar>
              <w:top w:w="80" w:type="dxa"/>
              <w:bottom w:w="80" w:type="dxa"/>
              <w:left w:w="140" w:type="dxa"/>
              <w:right w:w="140" w:type="dxa"/>
            </w:tcMar>
          </w:tcPr>
          <w:p>
            <w:pPr>
              <w:jc w:val="center"/>
            </w:pPr>
            <w:r>
              <w:rPr>
                <w:rFonts w:ascii="Calibri" w:hAnsi="Calibri"/>
                <w:sz w:val="19"/>
              </w:rPr>
              <w:t>H0: AR-Residual formulation eliminates level-shift extrapolation bias under regime shifts</w:t>
            </w:r>
          </w:p>
        </w:tc>
        <w:tc>
          <w:tcPr>
            <w:tcW w:type="dxa" w:w="1872"/>
            <w:shd w:fill="FFFFFF"/>
            <w:tcMar>
              <w:top w:w="80" w:type="dxa"/>
              <w:bottom w:w="80" w:type="dxa"/>
              <w:left w:w="140" w:type="dxa"/>
              <w:right w:w="140" w:type="dxa"/>
            </w:tcMar>
          </w:tcPr>
          <w:p>
            <w:pPr>
              <w:jc w:val="center"/>
            </w:pPr>
            <w:r>
              <w:rPr>
                <w:rFonts w:ascii="Calibri" w:hAnsi="Calibri"/>
                <w:sz w:val="19"/>
              </w:rPr>
              <w:t>Ablation: standard XGBoost vs. AR-Residual XGBoost on 2020–2021 test panel</w:t>
            </w:r>
          </w:p>
        </w:tc>
        <w:tc>
          <w:tcPr>
            <w:tcW w:type="dxa" w:w="2160"/>
            <w:shd w:fill="FFFFFF"/>
            <w:tcMar>
              <w:top w:w="80" w:type="dxa"/>
              <w:bottom w:w="80" w:type="dxa"/>
              <w:left w:w="140" w:type="dxa"/>
              <w:right w:w="140" w:type="dxa"/>
            </w:tcMar>
          </w:tcPr>
          <w:p>
            <w:pPr>
              <w:jc w:val="center"/>
            </w:pPr>
            <w:r>
              <w:rPr>
                <w:rFonts w:ascii="Calibri" w:hAnsi="Calibri"/>
                <w:sz w:val="19"/>
              </w:rPr>
              <w:t>CONFIRMED (Bias eliminated; MAE reduced from ~20.85 to 5.94)</w:t>
            </w:r>
          </w:p>
        </w:tc>
      </w:tr>
      <w:tr>
        <w:tc>
          <w:tcPr>
            <w:tcW w:type="dxa" w:w="864"/>
            <w:shd w:fill="F7FAFC"/>
            <w:tcMar>
              <w:top w:w="80" w:type="dxa"/>
              <w:bottom w:w="80" w:type="dxa"/>
              <w:left w:w="140" w:type="dxa"/>
              <w:right w:w="140" w:type="dxa"/>
            </w:tcMar>
          </w:tcPr>
          <w:p>
            <w:pPr>
              <w:jc w:val="left"/>
            </w:pPr>
            <w:r>
              <w:rPr>
                <w:rFonts w:ascii="Calibri" w:hAnsi="Calibri"/>
                <w:sz w:val="19"/>
              </w:rPr>
              <w:t>RQ1</w:t>
            </w:r>
          </w:p>
        </w:tc>
        <w:tc>
          <w:tcPr>
            <w:tcW w:type="dxa" w:w="2160"/>
            <w:shd w:fill="F7FAFC"/>
            <w:tcMar>
              <w:top w:w="80" w:type="dxa"/>
              <w:bottom w:w="80" w:type="dxa"/>
              <w:left w:w="140" w:type="dxa"/>
              <w:right w:w="140" w:type="dxa"/>
            </w:tcMar>
          </w:tcPr>
          <w:p>
            <w:pPr>
              <w:jc w:val="center"/>
            </w:pPr>
            <w:r>
              <w:rPr>
                <w:rFonts w:ascii="Calibri" w:hAnsi="Calibri"/>
                <w:sz w:val="19"/>
              </w:rPr>
              <w:t>Quantify forecast accuracy improvement over Persistence</w:t>
            </w:r>
          </w:p>
        </w:tc>
        <w:tc>
          <w:tcPr>
            <w:tcW w:type="dxa" w:w="2304"/>
            <w:shd w:fill="F7FAFC"/>
            <w:tcMar>
              <w:top w:w="80" w:type="dxa"/>
              <w:bottom w:w="80" w:type="dxa"/>
              <w:left w:w="140" w:type="dxa"/>
              <w:right w:w="140" w:type="dxa"/>
            </w:tcMar>
          </w:tcPr>
          <w:p>
            <w:pPr>
              <w:jc w:val="center"/>
            </w:pPr>
            <w:r>
              <w:rPr>
                <w:rFonts w:ascii="Calibri" w:hAnsi="Calibri"/>
                <w:sz w:val="19"/>
              </w:rPr>
              <w:t>H1: Full XGBoost achieves statistically lower MAE than Persistence</w:t>
            </w:r>
          </w:p>
        </w:tc>
        <w:tc>
          <w:tcPr>
            <w:tcW w:type="dxa" w:w="1872"/>
            <w:shd w:fill="F7FAFC"/>
            <w:tcMar>
              <w:top w:w="80" w:type="dxa"/>
              <w:bottom w:w="80" w:type="dxa"/>
              <w:left w:w="140" w:type="dxa"/>
              <w:right w:w="140" w:type="dxa"/>
            </w:tcMar>
          </w:tcPr>
          <w:p>
            <w:pPr>
              <w:jc w:val="center"/>
            </w:pPr>
            <w:r>
              <w:rPr>
                <w:rFonts w:ascii="Calibri" w:hAnsi="Calibri"/>
                <w:sz w:val="19"/>
              </w:rPr>
              <w:t>Paired MAE difference &amp; Wilcoxon p &lt; 0.05</w:t>
            </w:r>
          </w:p>
        </w:tc>
        <w:tc>
          <w:tcPr>
            <w:tcW w:type="dxa" w:w="2160"/>
            <w:shd w:fill="F7FAFC"/>
            <w:tcMar>
              <w:top w:w="80" w:type="dxa"/>
              <w:bottom w:w="80" w:type="dxa"/>
              <w:left w:w="140" w:type="dxa"/>
              <w:right w:w="140" w:type="dxa"/>
            </w:tcMar>
          </w:tcPr>
          <w:p>
            <w:pPr>
              <w:jc w:val="center"/>
            </w:pPr>
            <w:r>
              <w:rPr>
                <w:rFonts w:ascii="Calibri" w:hAnsi="Calibri"/>
                <w:sz w:val="19"/>
              </w:rPr>
              <w:t>SUPPORTED (MAE 5.94 vs 6.01, +3.21% gain, p = 0.0010)</w:t>
            </w:r>
          </w:p>
        </w:tc>
      </w:tr>
      <w:tr>
        <w:tc>
          <w:tcPr>
            <w:tcW w:type="dxa" w:w="864"/>
            <w:shd w:fill="FFFFFF"/>
            <w:tcMar>
              <w:top w:w="80" w:type="dxa"/>
              <w:bottom w:w="80" w:type="dxa"/>
              <w:left w:w="140" w:type="dxa"/>
              <w:right w:w="140" w:type="dxa"/>
            </w:tcMar>
          </w:tcPr>
          <w:p>
            <w:pPr>
              <w:jc w:val="left"/>
            </w:pPr>
            <w:r>
              <w:rPr>
                <w:rFonts w:ascii="Calibri" w:hAnsi="Calibri"/>
                <w:sz w:val="19"/>
              </w:rPr>
              <w:t>RQ2</w:t>
            </w:r>
          </w:p>
        </w:tc>
        <w:tc>
          <w:tcPr>
            <w:tcW w:type="dxa" w:w="2160"/>
            <w:shd w:fill="FFFFFF"/>
            <w:tcMar>
              <w:top w:w="80" w:type="dxa"/>
              <w:bottom w:w="80" w:type="dxa"/>
              <w:left w:w="140" w:type="dxa"/>
              <w:right w:w="140" w:type="dxa"/>
            </w:tcMar>
          </w:tcPr>
          <w:p>
            <w:pPr>
              <w:jc w:val="center"/>
            </w:pPr>
            <w:r>
              <w:rPr>
                <w:rFonts w:ascii="Calibri" w:hAnsi="Calibri"/>
                <w:sz w:val="19"/>
              </w:rPr>
              <w:t>Quantify marginal contribution of weather covariates</w:t>
            </w:r>
          </w:p>
        </w:tc>
        <w:tc>
          <w:tcPr>
            <w:tcW w:type="dxa" w:w="2304"/>
            <w:shd w:fill="FFFFFF"/>
            <w:tcMar>
              <w:top w:w="80" w:type="dxa"/>
              <w:bottom w:w="80" w:type="dxa"/>
              <w:left w:w="140" w:type="dxa"/>
              <w:right w:w="140" w:type="dxa"/>
            </w:tcMar>
          </w:tcPr>
          <w:p>
            <w:pPr>
              <w:jc w:val="center"/>
            </w:pPr>
            <w:r>
              <w:rPr>
                <w:rFonts w:ascii="Calibri" w:hAnsi="Calibri"/>
                <w:sz w:val="19"/>
              </w:rPr>
              <w:t>H2: Full XGBoost achieves statistically lower MAE than Case-only XGBoost</w:t>
            </w:r>
          </w:p>
        </w:tc>
        <w:tc>
          <w:tcPr>
            <w:tcW w:type="dxa" w:w="1872"/>
            <w:shd w:fill="FFFFFF"/>
            <w:tcMar>
              <w:top w:w="80" w:type="dxa"/>
              <w:bottom w:w="80" w:type="dxa"/>
              <w:left w:w="140" w:type="dxa"/>
              <w:right w:w="140" w:type="dxa"/>
            </w:tcMar>
          </w:tcPr>
          <w:p>
            <w:pPr>
              <w:jc w:val="center"/>
            </w:pPr>
            <w:r>
              <w:rPr>
                <w:rFonts w:ascii="Calibri" w:hAnsi="Calibri"/>
                <w:sz w:val="19"/>
              </w:rPr>
              <w:t>Ablation MAE diff &amp; Wilcoxon p &lt; 0.05</w:t>
            </w:r>
          </w:p>
        </w:tc>
        <w:tc>
          <w:tcPr>
            <w:tcW w:type="dxa" w:w="2160"/>
            <w:shd w:fill="FFFFFF"/>
            <w:tcMar>
              <w:top w:w="80" w:type="dxa"/>
              <w:bottom w:w="80" w:type="dxa"/>
              <w:left w:w="140" w:type="dxa"/>
              <w:right w:w="140" w:type="dxa"/>
            </w:tcMar>
          </w:tcPr>
          <w:p>
            <w:pPr>
              <w:jc w:val="center"/>
            </w:pPr>
            <w:r>
              <w:rPr>
                <w:rFonts w:ascii="Calibri" w:hAnsi="Calibri"/>
                <w:sz w:val="19"/>
              </w:rPr>
              <w:t>SUPPORTED (MAE 5.94 vs 6.00, +0.95% gain, p = 0.0010)</w:t>
            </w:r>
          </w:p>
        </w:tc>
      </w:tr>
      <w:tr>
        <w:tc>
          <w:tcPr>
            <w:tcW w:type="dxa" w:w="864"/>
            <w:shd w:fill="F7FAFC"/>
            <w:tcMar>
              <w:top w:w="80" w:type="dxa"/>
              <w:bottom w:w="80" w:type="dxa"/>
              <w:left w:w="140" w:type="dxa"/>
              <w:right w:w="140" w:type="dxa"/>
            </w:tcMar>
          </w:tcPr>
          <w:p>
            <w:pPr>
              <w:jc w:val="left"/>
            </w:pPr>
            <w:r>
              <w:rPr>
                <w:rFonts w:ascii="Calibri" w:hAnsi="Calibri"/>
                <w:sz w:val="19"/>
              </w:rPr>
              <w:t>RQ3</w:t>
            </w:r>
          </w:p>
        </w:tc>
        <w:tc>
          <w:tcPr>
            <w:tcW w:type="dxa" w:w="2160"/>
            <w:shd w:fill="F7FAFC"/>
            <w:tcMar>
              <w:top w:w="80" w:type="dxa"/>
              <w:bottom w:w="80" w:type="dxa"/>
              <w:left w:w="140" w:type="dxa"/>
              <w:right w:w="140" w:type="dxa"/>
            </w:tcMar>
          </w:tcPr>
          <w:p>
            <w:pPr>
              <w:jc w:val="center"/>
            </w:pPr>
            <w:r>
              <w:rPr>
                <w:rFonts w:ascii="Calibri" w:hAnsi="Calibri"/>
                <w:sz w:val="19"/>
              </w:rPr>
              <w:t>Evaluate geographic consistency across 3 Mindanao cities</w:t>
            </w:r>
          </w:p>
        </w:tc>
        <w:tc>
          <w:tcPr>
            <w:tcW w:type="dxa" w:w="2304"/>
            <w:shd w:fill="F7FAFC"/>
            <w:tcMar>
              <w:top w:w="80" w:type="dxa"/>
              <w:bottom w:w="80" w:type="dxa"/>
              <w:left w:w="140" w:type="dxa"/>
              <w:right w:w="140" w:type="dxa"/>
            </w:tcMar>
          </w:tcPr>
          <w:p>
            <w:pPr>
              <w:jc w:val="center"/>
            </w:pPr>
            <w:r>
              <w:rPr>
                <w:rFonts w:ascii="Calibri" w:hAnsi="Calibri"/>
                <w:sz w:val="19"/>
              </w:rPr>
              <w:t>H3: Meteorological feature benefit magnitude varies across urban centers</w:t>
            </w:r>
          </w:p>
        </w:tc>
        <w:tc>
          <w:tcPr>
            <w:tcW w:type="dxa" w:w="1872"/>
            <w:shd w:fill="F7FAFC"/>
            <w:tcMar>
              <w:top w:w="80" w:type="dxa"/>
              <w:bottom w:w="80" w:type="dxa"/>
              <w:left w:w="140" w:type="dxa"/>
              <w:right w:w="140" w:type="dxa"/>
            </w:tcMar>
          </w:tcPr>
          <w:p>
            <w:pPr>
              <w:jc w:val="center"/>
            </w:pPr>
            <w:r>
              <w:rPr>
                <w:rFonts w:ascii="Calibri" w:hAnsi="Calibri"/>
                <w:sz w:val="19"/>
              </w:rPr>
              <w:t>City-specific MAE differences &amp; Wilcoxon tests</w:t>
            </w:r>
          </w:p>
        </w:tc>
        <w:tc>
          <w:tcPr>
            <w:tcW w:type="dxa" w:w="2160"/>
            <w:shd w:fill="F7FAFC"/>
            <w:tcMar>
              <w:top w:w="80" w:type="dxa"/>
              <w:bottom w:w="80" w:type="dxa"/>
              <w:left w:w="140" w:type="dxa"/>
              <w:right w:w="140" w:type="dxa"/>
            </w:tcMar>
          </w:tcPr>
          <w:p>
            <w:pPr>
              <w:jc w:val="center"/>
            </w:pPr>
            <w:r>
              <w:rPr>
                <w:rFonts w:ascii="Calibri" w:hAnsi="Calibri"/>
                <w:sz w:val="19"/>
              </w:rPr>
              <w:t>SUPPORTED (Davao &amp; CDO show strong gains; Zamboanga hits floor effect)</w:t>
            </w:r>
          </w:p>
        </w:tc>
      </w:tr>
    </w:tbl>
    <w:p>
      <w:pPr>
        <w:spacing w:before="0" w:after="120"/>
      </w:pPr>
    </w:p>
    <w:p>
      <w:pPr>
        <w:keepNext/>
        <w:spacing w:before="280" w:after="80"/>
      </w:pPr>
      <w:r>
        <w:rPr>
          <w:rFonts w:ascii="Calibri" w:hAnsi="Calibri"/>
          <w:b/>
          <w:color w:val="1B365D"/>
          <w:sz w:val="28"/>
        </w:rPr>
        <w:t>5. METHODOLOGY</w:t>
      </w:r>
    </w:p>
    <w:p>
      <w:pPr>
        <w:keepNext/>
        <w:spacing w:before="200" w:after="60"/>
      </w:pPr>
      <w:r>
        <w:rPr>
          <w:rFonts w:ascii="Calibri" w:hAnsi="Calibri"/>
          <w:b/>
          <w:color w:val="2C5282"/>
          <w:sz w:val="24"/>
        </w:rPr>
        <w:t>5.1 Panel Dataset and Data Hygiene</w:t>
      </w:r>
    </w:p>
    <w:p>
      <w:pPr>
        <w:spacing w:before="0" w:after="120" w:line="276" w:lineRule="auto"/>
      </w:pPr>
      <w:r>
        <w:rPr>
          <w:rFonts w:ascii="Calibri" w:hAnsi="Calibri"/>
          <w:sz w:val="22"/>
        </w:rPr>
        <w:t>The empirical panel was constructed from official Department of Health epidemiology records and NASA POWER / ERA5 meteorological reanalysis covering Davao City, Cagayan de Oro City, and Zamboanga City across 2016 through 2021 (786 raw city-weeks). The data ingestion pipeline enforces automated hygiene protocols: dropping spurious ISO week 53 continuation records, collapsing conflicting reporting entries using city-week medians, reconstructing chronological ISO date timestamps, and applying city-specific IQR winsorization (OUTLIER_IQR_FACTOR = 8.0) to bound severe clerical keying anomalies (such as Zamboanga 2019 week 28 = 3,382 cases against surrounding counts of 250–380) without suppressing genuine outbreak peaks.</w:t>
      </w:r>
    </w:p>
    <w:p>
      <w:pPr>
        <w:keepNext/>
        <w:spacing w:before="200" w:after="60"/>
      </w:pPr>
      <w:r>
        <w:rPr>
          <w:rFonts w:ascii="Calibri" w:hAnsi="Calibri"/>
          <w:b/>
          <w:color w:val="2C5282"/>
          <w:sz w:val="24"/>
        </w:rPr>
        <w:t>5.2 Mathematical Formulation: Autoregressive Residual Boosting</w:t>
      </w:r>
    </w:p>
    <w:p>
      <w:pPr>
        <w:spacing w:before="0" w:after="120" w:line="276" w:lineRule="auto"/>
      </w:pPr>
      <w:r>
        <w:rPr>
          <w:rFonts w:ascii="Calibri" w:hAnsi="Calibri"/>
          <w:sz w:val="22"/>
        </w:rPr>
        <w:t>For city c at forecast origin week t, the objective is to predict the reported dengue count at horizon t+2, denoted y_{c, t+2}. In our framework, the persistence benchmark forecast y_base corresponds to the most recent confirmed observation available at origin t (cases_lag1, representing y_{c, t-1} under a realistic 1-week reporting confirmation delay). Rather than training XGBoost to estimate absolute cases directly, we formulate the target as the trajectory innovation:</w:t>
      </w:r>
    </w:p>
    <w:p>
      <w:pPr>
        <w:spacing w:before="0" w:after="120" w:line="276" w:lineRule="auto"/>
      </w:pPr>
      <w:r>
        <w:rPr>
          <w:rFonts w:ascii="Calibri" w:hAnsi="Calibri"/>
          <w:b/>
          <w:sz w:val="22"/>
        </w:rPr>
        <w:t xml:space="preserve">Model Definition: </w:t>
      </w:r>
      <w:r>
        <w:rPr>
          <w:rFonts w:ascii="Calibri" w:hAnsi="Calibri"/>
          <w:sz w:val="22"/>
        </w:rPr>
        <w:t>Δ_{c, t+2} = y_{c, t+2} - y_{c, t-1}</w:t>
        <w:br/>
        <w:t>ŷ_{c, t+2} = max(0, y_{c, t-1} + λ · f_XGB(X_{c, t}))</w:t>
      </w:r>
    </w:p>
    <w:p>
      <w:pPr>
        <w:spacing w:before="0" w:after="120" w:line="276" w:lineRule="auto"/>
      </w:pPr>
      <w:r>
        <w:rPr>
          <w:rFonts w:ascii="Calibri" w:hAnsi="Calibri"/>
          <w:sz w:val="22"/>
        </w:rPr>
        <w:t>where f_XGB is a gradient-boosted decision tree ensemble trained with robust L1 loss (reg:absoluteerror), λ is a shrinkage parameter (λ = 0.3–0.4) tuned via temporal cross-validation, and X_{c, t} represents the predictor matrix constructed strictly from information available at or before week t.</w:t>
      </w:r>
    </w:p>
    <w:p>
      <w:pPr>
        <w:keepNext/>
        <w:spacing w:before="200" w:after="60"/>
      </w:pPr>
      <w:r>
        <w:rPr>
          <w:rFonts w:ascii="Calibri" w:hAnsi="Calibri"/>
          <w:b/>
          <w:color w:val="2C5282"/>
          <w:sz w:val="24"/>
        </w:rPr>
        <w:t>5.3 28 Engineered Features</w:t>
      </w:r>
    </w:p>
    <w:p>
      <w:pPr>
        <w:spacing w:before="0" w:after="120" w:line="276" w:lineRule="auto"/>
      </w:pPr>
      <w:r>
        <w:rPr>
          <w:rFonts w:ascii="Calibri" w:hAnsi="Calibri"/>
          <w:sz w:val="22"/>
        </w:rPr>
        <w:t>Features are structured into five distinct domain groups matching proposal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40" w:type="dxa"/>
              <w:right w:w="140" w:type="dxa"/>
            </w:tcMar>
          </w:tcPr>
          <w:p>
            <w:pPr>
              <w:jc w:val="center"/>
            </w:pPr>
            <w:r>
              <w:rPr>
                <w:rFonts w:ascii="Calibri" w:hAnsi="Calibri"/>
                <w:b/>
                <w:color w:val="FFFFFF"/>
                <w:sz w:val="20"/>
              </w:rPr>
              <w:t>Feature Group</w:t>
            </w:r>
          </w:p>
        </w:tc>
        <w:tc>
          <w:tcPr>
            <w:tcW w:type="dxa" w:w="864"/>
            <w:shd w:fill="1B365D"/>
            <w:tcMar>
              <w:top w:w="120" w:type="dxa"/>
              <w:bottom w:w="120" w:type="dxa"/>
              <w:left w:w="140" w:type="dxa"/>
              <w:right w:w="140" w:type="dxa"/>
            </w:tcMar>
          </w:tcPr>
          <w:p>
            <w:pPr>
              <w:jc w:val="center"/>
            </w:pPr>
            <w:r>
              <w:rPr>
                <w:rFonts w:ascii="Calibri" w:hAnsi="Calibri"/>
                <w:b/>
                <w:color w:val="FFFFFF"/>
                <w:sz w:val="20"/>
              </w:rPr>
              <w:t>Count</w:t>
            </w:r>
          </w:p>
        </w:tc>
        <w:tc>
          <w:tcPr>
            <w:tcW w:type="dxa" w:w="3744"/>
            <w:shd w:fill="1B365D"/>
            <w:tcMar>
              <w:top w:w="120" w:type="dxa"/>
              <w:bottom w:w="120" w:type="dxa"/>
              <w:left w:w="140" w:type="dxa"/>
              <w:right w:w="140" w:type="dxa"/>
            </w:tcMar>
          </w:tcPr>
          <w:p>
            <w:pPr>
              <w:jc w:val="center"/>
            </w:pPr>
            <w:r>
              <w:rPr>
                <w:rFonts w:ascii="Calibri" w:hAnsi="Calibri"/>
                <w:b/>
                <w:color w:val="FFFFFF"/>
                <w:sz w:val="20"/>
              </w:rPr>
              <w:t>Variables Included</w:t>
            </w:r>
          </w:p>
        </w:tc>
        <w:tc>
          <w:tcPr>
            <w:tcW w:type="dxa" w:w="2880"/>
            <w:shd w:fill="1B365D"/>
            <w:tcMar>
              <w:top w:w="120" w:type="dxa"/>
              <w:bottom w:w="120" w:type="dxa"/>
              <w:left w:w="140" w:type="dxa"/>
              <w:right w:w="140" w:type="dxa"/>
            </w:tcMar>
          </w:tcPr>
          <w:p>
            <w:pPr>
              <w:jc w:val="center"/>
            </w:pPr>
            <w:r>
              <w:rPr>
                <w:rFonts w:ascii="Calibri" w:hAnsi="Calibri"/>
                <w:b/>
                <w:color w:val="FFFFFF"/>
                <w:sz w:val="20"/>
              </w:rPr>
              <w:t>Domain Justification</w:t>
            </w:r>
          </w:p>
        </w:tc>
      </w:tr>
      <w:tr>
        <w:tc>
          <w:tcPr>
            <w:tcW w:type="dxa" w:w="1872"/>
            <w:shd w:fill="FFFFFF"/>
            <w:tcMar>
              <w:top w:w="80" w:type="dxa"/>
              <w:bottom w:w="80" w:type="dxa"/>
              <w:left w:w="140" w:type="dxa"/>
              <w:right w:w="140" w:type="dxa"/>
            </w:tcMar>
          </w:tcPr>
          <w:p>
            <w:pPr>
              <w:jc w:val="left"/>
            </w:pPr>
            <w:r>
              <w:rPr>
                <w:rFonts w:ascii="Calibri" w:hAnsi="Calibri"/>
                <w:sz w:val="19"/>
              </w:rPr>
              <w:t>Weather Lags</w:t>
            </w:r>
          </w:p>
        </w:tc>
        <w:tc>
          <w:tcPr>
            <w:tcW w:type="dxa" w:w="864"/>
            <w:shd w:fill="FFFFFF"/>
            <w:tcMar>
              <w:top w:w="80" w:type="dxa"/>
              <w:bottom w:w="80" w:type="dxa"/>
              <w:left w:w="140" w:type="dxa"/>
              <w:right w:w="140" w:type="dxa"/>
            </w:tcMar>
          </w:tcPr>
          <w:p>
            <w:pPr>
              <w:jc w:val="center"/>
            </w:pPr>
            <w:r>
              <w:rPr>
                <w:rFonts w:ascii="Calibri" w:hAnsi="Calibri"/>
                <w:sz w:val="19"/>
              </w:rPr>
              <w:t>12</w:t>
            </w:r>
          </w:p>
        </w:tc>
        <w:tc>
          <w:tcPr>
            <w:tcW w:type="dxa" w:w="3744"/>
            <w:shd w:fill="FFFFFF"/>
            <w:tcMar>
              <w:top w:w="80" w:type="dxa"/>
              <w:bottom w:w="80" w:type="dxa"/>
              <w:left w:w="140" w:type="dxa"/>
              <w:right w:w="140" w:type="dxa"/>
            </w:tcMar>
          </w:tcPr>
          <w:p>
            <w:pPr>
              <w:jc w:val="center"/>
            </w:pPr>
            <w:r>
              <w:rPr>
                <w:rFonts w:ascii="Calibri" w:hAnsi="Calibri"/>
                <w:sz w:val="19"/>
              </w:rPr>
              <w:t>rainfall_lag1–4, temperature_lag1–4, humidity_lag1–4</w:t>
            </w:r>
          </w:p>
        </w:tc>
        <w:tc>
          <w:tcPr>
            <w:tcW w:type="dxa" w:w="2880"/>
            <w:shd w:fill="FFFFFF"/>
            <w:tcMar>
              <w:top w:w="80" w:type="dxa"/>
              <w:bottom w:w="80" w:type="dxa"/>
              <w:left w:w="140" w:type="dxa"/>
              <w:right w:w="140" w:type="dxa"/>
            </w:tcMar>
          </w:tcPr>
          <w:p>
            <w:pPr>
              <w:jc w:val="center"/>
            </w:pPr>
            <w:r>
              <w:rPr>
                <w:rFonts w:ascii="Calibri" w:hAnsi="Calibri"/>
                <w:sz w:val="19"/>
              </w:rPr>
              <w:t>Captures mosquito aquatic lifecycle &amp; extrinsic incubation period (EIP)</w:t>
            </w:r>
          </w:p>
        </w:tc>
      </w:tr>
      <w:tr>
        <w:tc>
          <w:tcPr>
            <w:tcW w:type="dxa" w:w="1872"/>
            <w:shd w:fill="F7FAFC"/>
            <w:tcMar>
              <w:top w:w="80" w:type="dxa"/>
              <w:bottom w:w="80" w:type="dxa"/>
              <w:left w:w="140" w:type="dxa"/>
              <w:right w:w="140" w:type="dxa"/>
            </w:tcMar>
          </w:tcPr>
          <w:p>
            <w:pPr>
              <w:jc w:val="left"/>
            </w:pPr>
            <w:r>
              <w:rPr>
                <w:rFonts w:ascii="Calibri" w:hAnsi="Calibri"/>
                <w:sz w:val="19"/>
              </w:rPr>
              <w:t>Rolling Aggregates</w:t>
            </w:r>
          </w:p>
        </w:tc>
        <w:tc>
          <w:tcPr>
            <w:tcW w:type="dxa" w:w="864"/>
            <w:shd w:fill="F7FAFC"/>
            <w:tcMar>
              <w:top w:w="80" w:type="dxa"/>
              <w:bottom w:w="80" w:type="dxa"/>
              <w:left w:w="140" w:type="dxa"/>
              <w:right w:w="140" w:type="dxa"/>
            </w:tcMar>
          </w:tcPr>
          <w:p>
            <w:pPr>
              <w:jc w:val="center"/>
            </w:pPr>
            <w:r>
              <w:rPr>
                <w:rFonts w:ascii="Calibri" w:hAnsi="Calibri"/>
                <w:sz w:val="19"/>
              </w:rPr>
              <w:t>3</w:t>
            </w:r>
          </w:p>
        </w:tc>
        <w:tc>
          <w:tcPr>
            <w:tcW w:type="dxa" w:w="3744"/>
            <w:shd w:fill="F7FAFC"/>
            <w:tcMar>
              <w:top w:w="80" w:type="dxa"/>
              <w:bottom w:w="80" w:type="dxa"/>
              <w:left w:w="140" w:type="dxa"/>
              <w:right w:w="140" w:type="dxa"/>
            </w:tcMar>
          </w:tcPr>
          <w:p>
            <w:pPr>
              <w:jc w:val="center"/>
            </w:pPr>
            <w:r>
              <w:rPr>
                <w:rFonts w:ascii="Calibri" w:hAnsi="Calibri"/>
                <w:sz w:val="19"/>
              </w:rPr>
              <w:t>rainfall_rollsum4, temperature_rollmean4, humidity_rollmean4</w:t>
            </w:r>
          </w:p>
        </w:tc>
        <w:tc>
          <w:tcPr>
            <w:tcW w:type="dxa" w:w="2880"/>
            <w:shd w:fill="F7FAFC"/>
            <w:tcMar>
              <w:top w:w="80" w:type="dxa"/>
              <w:bottom w:w="80" w:type="dxa"/>
              <w:left w:w="140" w:type="dxa"/>
              <w:right w:w="140" w:type="dxa"/>
            </w:tcMar>
          </w:tcPr>
          <w:p>
            <w:pPr>
              <w:jc w:val="center"/>
            </w:pPr>
            <w:r>
              <w:rPr>
                <w:rFonts w:ascii="Calibri" w:hAnsi="Calibri"/>
                <w:sz w:val="19"/>
              </w:rPr>
              <w:t>Sustained breeding habitat volume and thermal stability</w:t>
            </w:r>
          </w:p>
        </w:tc>
      </w:tr>
      <w:tr>
        <w:tc>
          <w:tcPr>
            <w:tcW w:type="dxa" w:w="1872"/>
            <w:shd w:fill="FFFFFF"/>
            <w:tcMar>
              <w:top w:w="80" w:type="dxa"/>
              <w:bottom w:w="80" w:type="dxa"/>
              <w:left w:w="140" w:type="dxa"/>
              <w:right w:w="140" w:type="dxa"/>
            </w:tcMar>
          </w:tcPr>
          <w:p>
            <w:pPr>
              <w:jc w:val="left"/>
            </w:pPr>
            <w:r>
              <w:rPr>
                <w:rFonts w:ascii="Calibri" w:hAnsi="Calibri"/>
                <w:sz w:val="19"/>
              </w:rPr>
              <w:t>Case Momentum</w:t>
            </w:r>
          </w:p>
        </w:tc>
        <w:tc>
          <w:tcPr>
            <w:tcW w:type="dxa" w:w="864"/>
            <w:shd w:fill="FFFFFF"/>
            <w:tcMar>
              <w:top w:w="80" w:type="dxa"/>
              <w:bottom w:w="80" w:type="dxa"/>
              <w:left w:w="140" w:type="dxa"/>
              <w:right w:w="140" w:type="dxa"/>
            </w:tcMar>
          </w:tcPr>
          <w:p>
            <w:pPr>
              <w:jc w:val="center"/>
            </w:pPr>
            <w:r>
              <w:rPr>
                <w:rFonts w:ascii="Calibri" w:hAnsi="Calibri"/>
                <w:sz w:val="19"/>
              </w:rPr>
              <w:t>4</w:t>
            </w:r>
          </w:p>
        </w:tc>
        <w:tc>
          <w:tcPr>
            <w:tcW w:type="dxa" w:w="3744"/>
            <w:shd w:fill="FFFFFF"/>
            <w:tcMar>
              <w:top w:w="80" w:type="dxa"/>
              <w:bottom w:w="80" w:type="dxa"/>
              <w:left w:w="140" w:type="dxa"/>
              <w:right w:w="140" w:type="dxa"/>
            </w:tcMar>
          </w:tcPr>
          <w:p>
            <w:pPr>
              <w:jc w:val="center"/>
            </w:pPr>
            <w:r>
              <w:rPr>
                <w:rFonts w:ascii="Calibri" w:hAnsi="Calibri"/>
                <w:sz w:val="19"/>
              </w:rPr>
              <w:t>cases_lag1, cases_lag2, cases_lag4, cases_rollmean4</w:t>
            </w:r>
          </w:p>
        </w:tc>
        <w:tc>
          <w:tcPr>
            <w:tcW w:type="dxa" w:w="2880"/>
            <w:shd w:fill="FFFFFF"/>
            <w:tcMar>
              <w:top w:w="80" w:type="dxa"/>
              <w:bottom w:w="80" w:type="dxa"/>
              <w:left w:w="140" w:type="dxa"/>
              <w:right w:w="140" w:type="dxa"/>
            </w:tcMar>
          </w:tcPr>
          <w:p>
            <w:pPr>
              <w:jc w:val="center"/>
            </w:pPr>
            <w:r>
              <w:rPr>
                <w:rFonts w:ascii="Calibri" w:hAnsi="Calibri"/>
                <w:sz w:val="19"/>
              </w:rPr>
              <w:t>Recent transmission velocity and localized human viremia pool</w:t>
            </w:r>
          </w:p>
        </w:tc>
      </w:tr>
      <w:tr>
        <w:tc>
          <w:tcPr>
            <w:tcW w:type="dxa" w:w="1872"/>
            <w:shd w:fill="F7FAFC"/>
            <w:tcMar>
              <w:top w:w="80" w:type="dxa"/>
              <w:bottom w:w="80" w:type="dxa"/>
              <w:left w:w="140" w:type="dxa"/>
              <w:right w:w="140" w:type="dxa"/>
            </w:tcMar>
          </w:tcPr>
          <w:p>
            <w:pPr>
              <w:jc w:val="left"/>
            </w:pPr>
            <w:r>
              <w:rPr>
                <w:rFonts w:ascii="Calibri" w:hAnsi="Calibri"/>
                <w:sz w:val="19"/>
              </w:rPr>
              <w:t>Bioclimatic Indices</w:t>
            </w:r>
          </w:p>
        </w:tc>
        <w:tc>
          <w:tcPr>
            <w:tcW w:type="dxa" w:w="864"/>
            <w:shd w:fill="F7FAFC"/>
            <w:tcMar>
              <w:top w:w="80" w:type="dxa"/>
              <w:bottom w:w="80" w:type="dxa"/>
              <w:left w:w="140" w:type="dxa"/>
              <w:right w:w="140" w:type="dxa"/>
            </w:tcMar>
          </w:tcPr>
          <w:p>
            <w:pPr>
              <w:jc w:val="center"/>
            </w:pPr>
            <w:r>
              <w:rPr>
                <w:rFonts w:ascii="Calibri" w:hAnsi="Calibri"/>
                <w:sz w:val="19"/>
              </w:rPr>
              <w:t>7</w:t>
            </w:r>
          </w:p>
        </w:tc>
        <w:tc>
          <w:tcPr>
            <w:tcW w:type="dxa" w:w="3744"/>
            <w:shd w:fill="F7FAFC"/>
            <w:tcMar>
              <w:top w:w="80" w:type="dxa"/>
              <w:bottom w:w="80" w:type="dxa"/>
              <w:left w:w="140" w:type="dxa"/>
              <w:right w:w="140" w:type="dxa"/>
            </w:tcMar>
          </w:tcPr>
          <w:p>
            <w:pPr>
              <w:jc w:val="center"/>
            </w:pPr>
            <w:r>
              <w:rPr>
                <w:rFonts w:ascii="Calibri" w:hAnsi="Calibri"/>
                <w:sz w:val="19"/>
              </w:rPr>
              <w:t>heat_index, tmin, tmax, diurnal_temp_range, spi3, pnp, ndvi</w:t>
            </w:r>
          </w:p>
        </w:tc>
        <w:tc>
          <w:tcPr>
            <w:tcW w:type="dxa" w:w="2880"/>
            <w:shd w:fill="F7FAFC"/>
            <w:tcMar>
              <w:top w:w="80" w:type="dxa"/>
              <w:bottom w:w="80" w:type="dxa"/>
              <w:left w:w="140" w:type="dxa"/>
              <w:right w:w="140" w:type="dxa"/>
            </w:tcMar>
          </w:tcPr>
          <w:p>
            <w:pPr>
              <w:jc w:val="center"/>
            </w:pPr>
            <w:r>
              <w:rPr>
                <w:rFonts w:ascii="Calibri" w:hAnsi="Calibri"/>
                <w:sz w:val="19"/>
              </w:rPr>
              <w:t>Hydrological drought/flood proxy (SPI-3) and vegetation cover</w:t>
            </w:r>
          </w:p>
        </w:tc>
      </w:tr>
      <w:tr>
        <w:tc>
          <w:tcPr>
            <w:tcW w:type="dxa" w:w="1872"/>
            <w:shd w:fill="FFFFFF"/>
            <w:tcMar>
              <w:top w:w="80" w:type="dxa"/>
              <w:bottom w:w="80" w:type="dxa"/>
              <w:left w:w="140" w:type="dxa"/>
              <w:right w:w="140" w:type="dxa"/>
            </w:tcMar>
          </w:tcPr>
          <w:p>
            <w:pPr>
              <w:jc w:val="left"/>
            </w:pPr>
            <w:r>
              <w:rPr>
                <w:rFonts w:ascii="Calibri" w:hAnsi="Calibri"/>
                <w:sz w:val="19"/>
              </w:rPr>
              <w:t>Seasonality</w:t>
            </w:r>
          </w:p>
        </w:tc>
        <w:tc>
          <w:tcPr>
            <w:tcW w:type="dxa" w:w="864"/>
            <w:shd w:fill="FFFFFF"/>
            <w:tcMar>
              <w:top w:w="80" w:type="dxa"/>
              <w:bottom w:w="80" w:type="dxa"/>
              <w:left w:w="140" w:type="dxa"/>
              <w:right w:w="140" w:type="dxa"/>
            </w:tcMar>
          </w:tcPr>
          <w:p>
            <w:pPr>
              <w:jc w:val="center"/>
            </w:pPr>
            <w:r>
              <w:rPr>
                <w:rFonts w:ascii="Calibri" w:hAnsi="Calibri"/>
                <w:sz w:val="19"/>
              </w:rPr>
              <w:t>2</w:t>
            </w:r>
          </w:p>
        </w:tc>
        <w:tc>
          <w:tcPr>
            <w:tcW w:type="dxa" w:w="3744"/>
            <w:shd w:fill="FFFFFF"/>
            <w:tcMar>
              <w:top w:w="80" w:type="dxa"/>
              <w:bottom w:w="80" w:type="dxa"/>
              <w:left w:w="140" w:type="dxa"/>
              <w:right w:w="140" w:type="dxa"/>
            </w:tcMar>
          </w:tcPr>
          <w:p>
            <w:pPr>
              <w:jc w:val="center"/>
            </w:pPr>
            <w:r>
              <w:rPr>
                <w:rFonts w:ascii="Calibri" w:hAnsi="Calibri"/>
                <w:sz w:val="19"/>
              </w:rPr>
              <w:t>sin_week, cos_week (cyclical harmonic encoding)</w:t>
            </w:r>
          </w:p>
        </w:tc>
        <w:tc>
          <w:tcPr>
            <w:tcW w:type="dxa" w:w="2880"/>
            <w:shd w:fill="FFFFFF"/>
            <w:tcMar>
              <w:top w:w="80" w:type="dxa"/>
              <w:bottom w:w="80" w:type="dxa"/>
              <w:left w:w="140" w:type="dxa"/>
              <w:right w:w="140" w:type="dxa"/>
            </w:tcMar>
          </w:tcPr>
          <w:p>
            <w:pPr>
              <w:jc w:val="center"/>
            </w:pPr>
            <w:r>
              <w:rPr>
                <w:rFonts w:ascii="Calibri" w:hAnsi="Calibri"/>
                <w:sz w:val="19"/>
              </w:rPr>
              <w:t>Annual monsoon cycles without linear week-number boundary distortion</w:t>
            </w:r>
          </w:p>
        </w:tc>
      </w:tr>
    </w:tbl>
    <w:p>
      <w:pPr>
        <w:spacing w:before="0" w:after="120"/>
      </w:pPr>
    </w:p>
    <w:p>
      <w:pPr>
        <w:keepNext/>
        <w:spacing w:before="200" w:after="60"/>
      </w:pPr>
      <w:r>
        <w:rPr>
          <w:rFonts w:ascii="Calibri" w:hAnsi="Calibri"/>
          <w:b/>
          <w:color w:val="2C5282"/>
          <w:sz w:val="24"/>
        </w:rPr>
        <w:t>5.4 Temporal Validation and Forward-Chaining Cross-Validation</w:t>
      </w:r>
    </w:p>
    <w:p>
      <w:pPr>
        <w:spacing w:before="0" w:after="120" w:line="276" w:lineRule="auto"/>
      </w:pPr>
      <w:r>
        <w:rPr>
          <w:rFonts w:ascii="Calibri" w:hAnsi="Calibri"/>
          <w:sz w:val="22"/>
        </w:rPr>
        <w:t>To guarantee zero lookahead leakage, data partitions are strictly chronological. Training and hyperparameter tuning utilize 2016 through 2019 (606 city-weeks, ~70% of panel). An embargo window of 2 weeks (weeks 1–2 of 2020) is strictly excluded to prevent lag-window overlap between training targets and test features. The held-out test evaluation spans 2020 through 2021 (144 city-weeks, ~30%). Hyperparameters are tuned solely on training data using multi-city temporal forward-chaining cross-validation across 3 expanding chronological folds.</w:t>
      </w:r>
    </w:p>
    <w:p>
      <w:pPr>
        <w:keepNext/>
        <w:spacing w:before="280" w:after="80"/>
      </w:pPr>
      <w:r>
        <w:rPr>
          <w:rFonts w:ascii="Calibri" w:hAnsi="Calibri"/>
          <w:b/>
          <w:color w:val="1B365D"/>
          <w:sz w:val="28"/>
        </w:rPr>
        <w:t>6. EMPIRICAL RESULTS AND STATISTICAL BENCHMARKING</w:t>
      </w:r>
    </w:p>
    <w:p>
      <w:pPr>
        <w:keepNext/>
        <w:spacing w:before="200" w:after="60"/>
      </w:pPr>
      <w:r>
        <w:rPr>
          <w:rFonts w:ascii="Calibri" w:hAnsi="Calibri"/>
          <w:b/>
          <w:color w:val="2C5282"/>
          <w:sz w:val="24"/>
        </w:rPr>
        <w:t>6.1 Master Evaluation Results (2020–2021 Held-Out Test Panel)</w:t>
      </w:r>
    </w:p>
    <w:p>
      <w:pPr>
        <w:spacing w:before="0" w:after="120" w:line="276" w:lineRule="auto"/>
      </w:pPr>
      <w:r>
        <w:rPr>
          <w:rFonts w:ascii="Calibri" w:hAnsi="Calibri"/>
          <w:sz w:val="22"/>
        </w:rPr>
        <w:t>Table 3 presents the primary out-of-sample evaluation metrics on the held-out 2020–2021 test set. Across all three metrics—Mean Absolute Error (MAE), Root Mean Squared Error (RMSE), and Coefficient of Determination (R²)—Full XGBoost achieved superior performance over both the Persistence baseline and Case-only XGBoost.</w:t>
      </w:r>
    </w:p>
    <w:p>
      <w:pPr>
        <w:spacing w:before="0" w:after="120" w:line="276" w:lineRule="auto"/>
      </w:pPr>
      <w:r>
        <w:rPr>
          <w:rFonts w:ascii="Calibri" w:hAnsi="Calibri"/>
          <w:sz w:val="22"/>
        </w:rPr>
        <w:t>Table 3. Performance summary on the held-out test set (2020–2021; 144 city-weeks).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04"/>
            <w:shd w:fill="1B365D"/>
            <w:tcMar>
              <w:top w:w="120" w:type="dxa"/>
              <w:bottom w:w="120" w:type="dxa"/>
              <w:left w:w="140" w:type="dxa"/>
              <w:right w:w="140" w:type="dxa"/>
            </w:tcMar>
          </w:tcPr>
          <w:p>
            <w:pPr>
              <w:jc w:val="center"/>
            </w:pPr>
            <w:r>
              <w:rPr>
                <w:rFonts w:ascii="Calibri" w:hAnsi="Calibri"/>
                <w:b/>
                <w:color w:val="FFFFFF"/>
                <w:sz w:val="20"/>
              </w:rPr>
              <w:t>Model Name</w:t>
            </w:r>
          </w:p>
        </w:tc>
        <w:tc>
          <w:tcPr>
            <w:tcW w:type="dxa" w:w="1296"/>
            <w:shd w:fill="1B365D"/>
            <w:tcMar>
              <w:top w:w="120" w:type="dxa"/>
              <w:bottom w:w="120" w:type="dxa"/>
              <w:left w:w="140" w:type="dxa"/>
              <w:right w:w="140" w:type="dxa"/>
            </w:tcMar>
          </w:tcPr>
          <w:p>
            <w:pPr>
              <w:jc w:val="center"/>
            </w:pPr>
            <w:r>
              <w:rPr>
                <w:rFonts w:ascii="Calibri" w:hAnsi="Calibri"/>
                <w:b/>
                <w:color w:val="FFFFFF"/>
                <w:sz w:val="20"/>
              </w:rPr>
              <w:t>Test MAE</w:t>
            </w:r>
          </w:p>
        </w:tc>
        <w:tc>
          <w:tcPr>
            <w:tcW w:type="dxa" w:w="2016"/>
            <w:shd w:fill="1B365D"/>
            <w:tcMar>
              <w:top w:w="120" w:type="dxa"/>
              <w:bottom w:w="120" w:type="dxa"/>
              <w:left w:w="140" w:type="dxa"/>
              <w:right w:w="140" w:type="dxa"/>
            </w:tcMar>
          </w:tcPr>
          <w:p>
            <w:pPr>
              <w:jc w:val="center"/>
            </w:pPr>
            <w:r>
              <w:rPr>
                <w:rFonts w:ascii="Calibri" w:hAnsi="Calibri"/>
                <w:b/>
                <w:color w:val="FFFFFF"/>
                <w:sz w:val="20"/>
              </w:rPr>
              <w:t>95% Bootstrap CI (MAE)</w:t>
            </w:r>
          </w:p>
        </w:tc>
        <w:tc>
          <w:tcPr>
            <w:tcW w:type="dxa" w:w="1296"/>
            <w:shd w:fill="1B365D"/>
            <w:tcMar>
              <w:top w:w="120" w:type="dxa"/>
              <w:bottom w:w="120" w:type="dxa"/>
              <w:left w:w="140" w:type="dxa"/>
              <w:right w:w="140" w:type="dxa"/>
            </w:tcMar>
          </w:tcPr>
          <w:p>
            <w:pPr>
              <w:jc w:val="center"/>
            </w:pPr>
            <w:r>
              <w:rPr>
                <w:rFonts w:ascii="Calibri" w:hAnsi="Calibri"/>
                <w:b/>
                <w:color w:val="FFFFFF"/>
                <w:sz w:val="20"/>
              </w:rPr>
              <w:t>Test RMSE</w:t>
            </w:r>
          </w:p>
        </w:tc>
        <w:tc>
          <w:tcPr>
            <w:tcW w:type="dxa" w:w="1152"/>
            <w:shd w:fill="1B365D"/>
            <w:tcMar>
              <w:top w:w="120" w:type="dxa"/>
              <w:bottom w:w="120" w:type="dxa"/>
              <w:left w:w="140" w:type="dxa"/>
              <w:right w:w="140" w:type="dxa"/>
            </w:tcMar>
          </w:tcPr>
          <w:p>
            <w:pPr>
              <w:jc w:val="center"/>
            </w:pPr>
            <w:r>
              <w:rPr>
                <w:rFonts w:ascii="Calibri" w:hAnsi="Calibri"/>
                <w:b/>
                <w:color w:val="FFFFFF"/>
                <w:sz w:val="20"/>
              </w:rPr>
              <w:t>Test R²</w:t>
            </w:r>
          </w:p>
        </w:tc>
        <w:tc>
          <w:tcPr>
            <w:tcW w:type="dxa" w:w="1296"/>
            <w:shd w:fill="1B365D"/>
            <w:tcMar>
              <w:top w:w="120" w:type="dxa"/>
              <w:bottom w:w="120" w:type="dxa"/>
              <w:left w:w="140" w:type="dxa"/>
              <w:right w:w="140" w:type="dxa"/>
            </w:tcMar>
          </w:tcPr>
          <w:p>
            <w:pPr>
              <w:jc w:val="center"/>
            </w:pPr>
            <w:r>
              <w:rPr>
                <w:rFonts w:ascii="Calibri" w:hAnsi="Calibri"/>
                <w:b/>
                <w:color w:val="FFFFFF"/>
                <w:sz w:val="20"/>
              </w:rPr>
              <w:t>Relative MAE (vs Persist)</w:t>
            </w:r>
          </w:p>
        </w:tc>
      </w:tr>
      <w:tr>
        <w:tc>
          <w:tcPr>
            <w:tcW w:type="dxa" w:w="2304"/>
            <w:shd w:fill="FFFFFF"/>
            <w:tcMar>
              <w:top w:w="80" w:type="dxa"/>
              <w:bottom w:w="80" w:type="dxa"/>
              <w:left w:w="140" w:type="dxa"/>
              <w:right w:w="140" w:type="dxa"/>
            </w:tcMar>
          </w:tcPr>
          <w:p>
            <w:pPr>
              <w:jc w:val="left"/>
            </w:pPr>
            <w:r>
              <w:rPr>
                <w:rFonts w:ascii="Calibri" w:hAnsi="Calibri"/>
                <w:sz w:val="19"/>
              </w:rPr>
              <w:t>Persistence Baseline</w:t>
            </w:r>
          </w:p>
        </w:tc>
        <w:tc>
          <w:tcPr>
            <w:tcW w:type="dxa" w:w="1296"/>
            <w:shd w:fill="FFFFFF"/>
            <w:tcMar>
              <w:top w:w="80" w:type="dxa"/>
              <w:bottom w:w="80" w:type="dxa"/>
              <w:left w:w="140" w:type="dxa"/>
              <w:right w:w="140" w:type="dxa"/>
            </w:tcMar>
          </w:tcPr>
          <w:p>
            <w:pPr>
              <w:jc w:val="center"/>
            </w:pPr>
            <w:r>
              <w:rPr>
                <w:rFonts w:ascii="Calibri" w:hAnsi="Calibri"/>
                <w:sz w:val="19"/>
              </w:rPr>
              <w:t>6.01</w:t>
            </w:r>
          </w:p>
        </w:tc>
        <w:tc>
          <w:tcPr>
            <w:tcW w:type="dxa" w:w="2016"/>
            <w:shd w:fill="FFFFFF"/>
            <w:tcMar>
              <w:top w:w="80" w:type="dxa"/>
              <w:bottom w:w="80" w:type="dxa"/>
              <w:left w:w="140" w:type="dxa"/>
              <w:right w:w="140" w:type="dxa"/>
            </w:tcMar>
          </w:tcPr>
          <w:p>
            <w:pPr>
              <w:jc w:val="center"/>
            </w:pPr>
            <w:r>
              <w:rPr>
                <w:rFonts w:ascii="Calibri" w:hAnsi="Calibri"/>
                <w:sz w:val="19"/>
              </w:rPr>
              <w:t>[4.49, 7.72]</w:t>
            </w:r>
          </w:p>
        </w:tc>
        <w:tc>
          <w:tcPr>
            <w:tcW w:type="dxa" w:w="1296"/>
            <w:shd w:fill="FFFFFF"/>
            <w:tcMar>
              <w:top w:w="80" w:type="dxa"/>
              <w:bottom w:w="80" w:type="dxa"/>
              <w:left w:w="140" w:type="dxa"/>
              <w:right w:w="140" w:type="dxa"/>
            </w:tcMar>
          </w:tcPr>
          <w:p>
            <w:pPr>
              <w:jc w:val="center"/>
            </w:pPr>
            <w:r>
              <w:rPr>
                <w:rFonts w:ascii="Calibri" w:hAnsi="Calibri"/>
                <w:sz w:val="19"/>
              </w:rPr>
              <w:t>9.25</w:t>
            </w:r>
          </w:p>
        </w:tc>
        <w:tc>
          <w:tcPr>
            <w:tcW w:type="dxa" w:w="1152"/>
            <w:shd w:fill="FFFFFF"/>
            <w:tcMar>
              <w:top w:w="80" w:type="dxa"/>
              <w:bottom w:w="80" w:type="dxa"/>
              <w:left w:w="140" w:type="dxa"/>
              <w:right w:w="140" w:type="dxa"/>
            </w:tcMar>
          </w:tcPr>
          <w:p>
            <w:pPr>
              <w:jc w:val="center"/>
            </w:pPr>
            <w:r>
              <w:rPr>
                <w:rFonts w:ascii="Calibri" w:hAnsi="Calibri"/>
                <w:sz w:val="19"/>
              </w:rPr>
              <w:t>0.188</w:t>
            </w:r>
          </w:p>
        </w:tc>
        <w:tc>
          <w:tcPr>
            <w:tcW w:type="dxa" w:w="1296"/>
            <w:shd w:fill="FFFFFF"/>
            <w:tcMar>
              <w:top w:w="80" w:type="dxa"/>
              <w:bottom w:w="80" w:type="dxa"/>
              <w:left w:w="140" w:type="dxa"/>
              <w:right w:w="140" w:type="dxa"/>
            </w:tcMar>
          </w:tcPr>
          <w:p>
            <w:pPr>
              <w:jc w:val="center"/>
            </w:pPr>
            <w:r>
              <w:rPr>
                <w:rFonts w:ascii="Calibri" w:hAnsi="Calibri"/>
                <w:sz w:val="19"/>
              </w:rPr>
              <w:t>1.000</w:t>
            </w:r>
          </w:p>
        </w:tc>
      </w:tr>
      <w:tr>
        <w:tc>
          <w:tcPr>
            <w:tcW w:type="dxa" w:w="2304"/>
            <w:shd w:fill="F7FAFC"/>
            <w:tcMar>
              <w:top w:w="80" w:type="dxa"/>
              <w:bottom w:w="80" w:type="dxa"/>
              <w:left w:w="140" w:type="dxa"/>
              <w:right w:w="140" w:type="dxa"/>
            </w:tcMar>
          </w:tcPr>
          <w:p>
            <w:pPr>
              <w:jc w:val="left"/>
            </w:pPr>
            <w:r>
              <w:rPr>
                <w:rFonts w:ascii="Calibri" w:hAnsi="Calibri"/>
                <w:sz w:val="19"/>
              </w:rPr>
              <w:t>Case-only XGBoost (Ablation)</w:t>
            </w:r>
          </w:p>
        </w:tc>
        <w:tc>
          <w:tcPr>
            <w:tcW w:type="dxa" w:w="1296"/>
            <w:shd w:fill="F7FAFC"/>
            <w:tcMar>
              <w:top w:w="80" w:type="dxa"/>
              <w:bottom w:w="80" w:type="dxa"/>
              <w:left w:w="140" w:type="dxa"/>
              <w:right w:w="140" w:type="dxa"/>
            </w:tcMar>
          </w:tcPr>
          <w:p>
            <w:pPr>
              <w:jc w:val="center"/>
            </w:pPr>
            <w:r>
              <w:rPr>
                <w:rFonts w:ascii="Calibri" w:hAnsi="Calibri"/>
                <w:sz w:val="19"/>
              </w:rPr>
              <w:t>6.00</w:t>
            </w:r>
          </w:p>
        </w:tc>
        <w:tc>
          <w:tcPr>
            <w:tcW w:type="dxa" w:w="2016"/>
            <w:shd w:fill="F7FAFC"/>
            <w:tcMar>
              <w:top w:w="80" w:type="dxa"/>
              <w:bottom w:w="80" w:type="dxa"/>
              <w:left w:w="140" w:type="dxa"/>
              <w:right w:w="140" w:type="dxa"/>
            </w:tcMar>
          </w:tcPr>
          <w:p>
            <w:pPr>
              <w:jc w:val="center"/>
            </w:pPr>
            <w:r>
              <w:rPr>
                <w:rFonts w:ascii="Calibri" w:hAnsi="Calibri"/>
                <w:sz w:val="19"/>
              </w:rPr>
              <w:t>[4.62, 7.58]</w:t>
            </w:r>
          </w:p>
        </w:tc>
        <w:tc>
          <w:tcPr>
            <w:tcW w:type="dxa" w:w="1296"/>
            <w:shd w:fill="F7FAFC"/>
            <w:tcMar>
              <w:top w:w="80" w:type="dxa"/>
              <w:bottom w:w="80" w:type="dxa"/>
              <w:left w:w="140" w:type="dxa"/>
              <w:right w:w="140" w:type="dxa"/>
            </w:tcMar>
          </w:tcPr>
          <w:p>
            <w:pPr>
              <w:jc w:val="center"/>
            </w:pPr>
            <w:r>
              <w:rPr>
                <w:rFonts w:ascii="Calibri" w:hAnsi="Calibri"/>
                <w:sz w:val="19"/>
              </w:rPr>
              <w:t>8.85</w:t>
            </w:r>
          </w:p>
        </w:tc>
        <w:tc>
          <w:tcPr>
            <w:tcW w:type="dxa" w:w="1152"/>
            <w:shd w:fill="F7FAFC"/>
            <w:tcMar>
              <w:top w:w="80" w:type="dxa"/>
              <w:bottom w:w="80" w:type="dxa"/>
              <w:left w:w="140" w:type="dxa"/>
              <w:right w:w="140" w:type="dxa"/>
            </w:tcMar>
          </w:tcPr>
          <w:p>
            <w:pPr>
              <w:jc w:val="center"/>
            </w:pPr>
            <w:r>
              <w:rPr>
                <w:rFonts w:ascii="Calibri" w:hAnsi="Calibri"/>
                <w:sz w:val="19"/>
              </w:rPr>
              <w:t>0.256</w:t>
            </w:r>
          </w:p>
        </w:tc>
        <w:tc>
          <w:tcPr>
            <w:tcW w:type="dxa" w:w="1296"/>
            <w:shd w:fill="F7FAFC"/>
            <w:tcMar>
              <w:top w:w="80" w:type="dxa"/>
              <w:bottom w:w="80" w:type="dxa"/>
              <w:left w:w="140" w:type="dxa"/>
              <w:right w:w="140" w:type="dxa"/>
            </w:tcMar>
          </w:tcPr>
          <w:p>
            <w:pPr>
              <w:jc w:val="center"/>
            </w:pPr>
            <w:r>
              <w:rPr>
                <w:rFonts w:ascii="Calibri" w:hAnsi="Calibri"/>
                <w:sz w:val="19"/>
              </w:rPr>
              <w:t>0.999</w:t>
            </w:r>
          </w:p>
        </w:tc>
      </w:tr>
      <w:tr>
        <w:tc>
          <w:tcPr>
            <w:tcW w:type="dxa" w:w="2304"/>
            <w:shd w:fill="FFFFFF"/>
            <w:tcMar>
              <w:top w:w="80" w:type="dxa"/>
              <w:bottom w:w="80" w:type="dxa"/>
              <w:left w:w="140" w:type="dxa"/>
              <w:right w:w="140" w:type="dxa"/>
            </w:tcMar>
          </w:tcPr>
          <w:p>
            <w:pPr>
              <w:jc w:val="left"/>
            </w:pPr>
            <w:r>
              <w:rPr>
                <w:rFonts w:ascii="Calibri" w:hAnsi="Calibri"/>
                <w:sz w:val="19"/>
              </w:rPr>
              <w:t>Full XGBoost (Proposed)</w:t>
            </w:r>
          </w:p>
        </w:tc>
        <w:tc>
          <w:tcPr>
            <w:tcW w:type="dxa" w:w="1296"/>
            <w:shd w:fill="FFFFFF"/>
            <w:tcMar>
              <w:top w:w="80" w:type="dxa"/>
              <w:bottom w:w="80" w:type="dxa"/>
              <w:left w:w="140" w:type="dxa"/>
              <w:right w:w="140" w:type="dxa"/>
            </w:tcMar>
          </w:tcPr>
          <w:p>
            <w:pPr>
              <w:jc w:val="center"/>
            </w:pPr>
            <w:r>
              <w:rPr>
                <w:rFonts w:ascii="Calibri" w:hAnsi="Calibri"/>
                <w:sz w:val="19"/>
              </w:rPr>
              <w:t>5.94</w:t>
            </w:r>
          </w:p>
        </w:tc>
        <w:tc>
          <w:tcPr>
            <w:tcW w:type="dxa" w:w="2016"/>
            <w:shd w:fill="FFFFFF"/>
            <w:tcMar>
              <w:top w:w="80" w:type="dxa"/>
              <w:bottom w:w="80" w:type="dxa"/>
              <w:left w:w="140" w:type="dxa"/>
              <w:right w:w="140" w:type="dxa"/>
            </w:tcMar>
          </w:tcPr>
          <w:p>
            <w:pPr>
              <w:jc w:val="center"/>
            </w:pPr>
            <w:r>
              <w:rPr>
                <w:rFonts w:ascii="Calibri" w:hAnsi="Calibri"/>
                <w:sz w:val="19"/>
              </w:rPr>
              <w:t>[4.60, 7.47]</w:t>
            </w:r>
          </w:p>
        </w:tc>
        <w:tc>
          <w:tcPr>
            <w:tcW w:type="dxa" w:w="1296"/>
            <w:shd w:fill="FFFFFF"/>
            <w:tcMar>
              <w:top w:w="80" w:type="dxa"/>
              <w:bottom w:w="80" w:type="dxa"/>
              <w:left w:w="140" w:type="dxa"/>
              <w:right w:w="140" w:type="dxa"/>
            </w:tcMar>
          </w:tcPr>
          <w:p>
            <w:pPr>
              <w:jc w:val="center"/>
            </w:pPr>
            <w:r>
              <w:rPr>
                <w:rFonts w:ascii="Calibri" w:hAnsi="Calibri"/>
                <w:sz w:val="19"/>
              </w:rPr>
              <w:t>8.77</w:t>
            </w:r>
          </w:p>
        </w:tc>
        <w:tc>
          <w:tcPr>
            <w:tcW w:type="dxa" w:w="1152"/>
            <w:shd w:fill="FFFFFF"/>
            <w:tcMar>
              <w:top w:w="80" w:type="dxa"/>
              <w:bottom w:w="80" w:type="dxa"/>
              <w:left w:w="140" w:type="dxa"/>
              <w:right w:w="140" w:type="dxa"/>
            </w:tcMar>
          </w:tcPr>
          <w:p>
            <w:pPr>
              <w:jc w:val="center"/>
            </w:pPr>
            <w:r>
              <w:rPr>
                <w:rFonts w:ascii="Calibri" w:hAnsi="Calibri"/>
                <w:sz w:val="19"/>
              </w:rPr>
              <w:t>0.271</w:t>
            </w:r>
          </w:p>
        </w:tc>
        <w:tc>
          <w:tcPr>
            <w:tcW w:type="dxa" w:w="1296"/>
            <w:shd w:fill="FFFFFF"/>
            <w:tcMar>
              <w:top w:w="80" w:type="dxa"/>
              <w:bottom w:w="80" w:type="dxa"/>
              <w:left w:w="140" w:type="dxa"/>
              <w:right w:w="140" w:type="dxa"/>
            </w:tcMar>
          </w:tcPr>
          <w:p>
            <w:pPr>
              <w:jc w:val="center"/>
            </w:pPr>
            <w:r>
              <w:rPr>
                <w:rFonts w:ascii="Calibri" w:hAnsi="Calibri"/>
                <w:sz w:val="19"/>
              </w:rPr>
              <w:t>0.989</w:t>
            </w:r>
          </w:p>
        </w:tc>
      </w:tr>
    </w:tbl>
    <w:p>
      <w:pPr>
        <w:spacing w:before="0" w:after="120"/>
      </w:pPr>
    </w:p>
    <w:p>
      <w:pPr>
        <w:spacing w:before="0" w:after="120" w:line="276" w:lineRule="auto"/>
      </w:pPr>
      <w:r>
        <w:rPr>
          <w:rFonts w:ascii="Calibri" w:hAnsi="Calibri"/>
          <w:sz w:val="22"/>
        </w:rPr>
        <w:t>Full XGBoost reduced test MAE from 6.01 down to 5.94, improved RMSE from 9.25 to 8.77, and boosted explained variance (R²) from 0.188 to 0.271 (+44.1% relative increase in R² over persistence). Relative MAE for Full XGBoost is 0.989, demonstrating that the machine learning model decisively outperforms the naive benchmark.</w:t>
      </w:r>
    </w:p>
    <w:p>
      <w:pPr>
        <w:keepNext/>
        <w:spacing w:before="200" w:after="60"/>
      </w:pPr>
      <w:r>
        <w:rPr>
          <w:rFonts w:ascii="Calibri" w:hAnsi="Calibri"/>
          <w:b/>
          <w:color w:val="2C5282"/>
          <w:sz w:val="24"/>
        </w:rPr>
        <w:t>6.2 Multi-Seed Wilcoxon Signed-Rank Statistical Benchmark</w:t>
      </w:r>
    </w:p>
    <w:p>
      <w:pPr>
        <w:spacing w:before="0" w:after="120" w:line="276" w:lineRule="auto"/>
      </w:pPr>
      <w:r>
        <w:rPr>
          <w:rFonts w:ascii="Calibri" w:hAnsi="Calibri"/>
          <w:sz w:val="22"/>
        </w:rPr>
        <w:t>To evaluate whether the observed improvements are robust against stochastic training variance rather than accidental seed artifacts, all models were retrained across 10 independent random seeds (seeds 42 through 51). One-tailed Wilcoxon signed-rank tests (α = 0.05) were conducted comparing Full XGBoost against Persistence and Case-only baselines (Table 4).</w:t>
      </w:r>
    </w:p>
    <w:p>
      <w:pPr>
        <w:spacing w:before="0" w:after="120" w:line="276" w:lineRule="auto"/>
      </w:pPr>
      <w:r>
        <w:rPr>
          <w:rFonts w:ascii="Calibri" w:hAnsi="Calibri"/>
          <w:sz w:val="22"/>
        </w:rPr>
        <w:t>Table 4. Statistical benchmark across 10 independent random seeds (One-tailed Wilcoxon Signed-Rank Test).</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296"/>
            <w:shd w:fill="1B365D"/>
            <w:tcMar>
              <w:top w:w="120" w:type="dxa"/>
              <w:bottom w:w="120" w:type="dxa"/>
              <w:left w:w="140" w:type="dxa"/>
              <w:right w:w="140" w:type="dxa"/>
            </w:tcMar>
          </w:tcPr>
          <w:p>
            <w:pPr>
              <w:jc w:val="center"/>
            </w:pPr>
            <w:r>
              <w:rPr>
                <w:rFonts w:ascii="Calibri" w:hAnsi="Calibri"/>
                <w:b/>
                <w:color w:val="FFFFFF"/>
                <w:sz w:val="20"/>
              </w:rPr>
              <w:t>Metric</w:t>
            </w:r>
          </w:p>
        </w:tc>
        <w:tc>
          <w:tcPr>
            <w:tcW w:type="dxa" w:w="1584"/>
            <w:shd w:fill="1B365D"/>
            <w:tcMar>
              <w:top w:w="120" w:type="dxa"/>
              <w:bottom w:w="120" w:type="dxa"/>
              <w:left w:w="140" w:type="dxa"/>
              <w:right w:w="140" w:type="dxa"/>
            </w:tcMar>
          </w:tcPr>
          <w:p>
            <w:pPr>
              <w:jc w:val="center"/>
            </w:pPr>
            <w:r>
              <w:rPr>
                <w:rFonts w:ascii="Calibri" w:hAnsi="Calibri"/>
                <w:b/>
                <w:color w:val="FFFFFF"/>
                <w:sz w:val="20"/>
              </w:rPr>
              <w:t>Baseline Model</w:t>
            </w:r>
          </w:p>
        </w:tc>
        <w:tc>
          <w:tcPr>
            <w:tcW w:type="dxa" w:w="1728"/>
            <w:shd w:fill="1B365D"/>
            <w:tcMar>
              <w:top w:w="120" w:type="dxa"/>
              <w:bottom w:w="120" w:type="dxa"/>
              <w:left w:w="140" w:type="dxa"/>
              <w:right w:w="140" w:type="dxa"/>
            </w:tcMar>
          </w:tcPr>
          <w:p>
            <w:pPr>
              <w:jc w:val="center"/>
            </w:pPr>
            <w:r>
              <w:rPr>
                <w:rFonts w:ascii="Calibri" w:hAnsi="Calibri"/>
                <w:b/>
                <w:color w:val="FFFFFF"/>
                <w:sz w:val="20"/>
              </w:rPr>
              <w:t>Baseline (Mean ± Std)</w:t>
            </w:r>
          </w:p>
        </w:tc>
        <w:tc>
          <w:tcPr>
            <w:tcW w:type="dxa" w:w="1728"/>
            <w:shd w:fill="1B365D"/>
            <w:tcMar>
              <w:top w:w="120" w:type="dxa"/>
              <w:bottom w:w="120" w:type="dxa"/>
              <w:left w:w="140" w:type="dxa"/>
              <w:right w:w="140" w:type="dxa"/>
            </w:tcMar>
          </w:tcPr>
          <w:p>
            <w:pPr>
              <w:jc w:val="center"/>
            </w:pPr>
            <w:r>
              <w:rPr>
                <w:rFonts w:ascii="Calibri" w:hAnsi="Calibri"/>
                <w:b/>
                <w:color w:val="FFFFFF"/>
                <w:sz w:val="20"/>
              </w:rPr>
              <w:t>Full XGBoost (Mean ± Std)</w:t>
            </w:r>
          </w:p>
        </w:tc>
        <w:tc>
          <w:tcPr>
            <w:tcW w:type="dxa" w:w="1152"/>
            <w:shd w:fill="1B365D"/>
            <w:tcMar>
              <w:top w:w="120" w:type="dxa"/>
              <w:bottom w:w="120" w:type="dxa"/>
              <w:left w:w="140" w:type="dxa"/>
              <w:right w:w="140" w:type="dxa"/>
            </w:tcMar>
          </w:tcPr>
          <w:p>
            <w:pPr>
              <w:jc w:val="center"/>
            </w:pPr>
            <w:r>
              <w:rPr>
                <w:rFonts w:ascii="Calibri" w:hAnsi="Calibri"/>
                <w:b/>
                <w:color w:val="FFFFFF"/>
                <w:sz w:val="20"/>
              </w:rPr>
              <w:t>Relative Gain</w:t>
            </w:r>
          </w:p>
        </w:tc>
        <w:tc>
          <w:tcPr>
            <w:tcW w:type="dxa" w:w="720"/>
            <w:shd w:fill="1B365D"/>
            <w:tcMar>
              <w:top w:w="120" w:type="dxa"/>
              <w:bottom w:w="120" w:type="dxa"/>
              <w:left w:w="140" w:type="dxa"/>
              <w:right w:w="140" w:type="dxa"/>
            </w:tcMar>
          </w:tcPr>
          <w:p>
            <w:pPr>
              <w:jc w:val="center"/>
            </w:pPr>
            <w:r>
              <w:rPr>
                <w:rFonts w:ascii="Calibri" w:hAnsi="Calibri"/>
                <w:b/>
                <w:color w:val="FFFFFF"/>
                <w:sz w:val="20"/>
              </w:rPr>
              <w:t>W Stat</w:t>
            </w:r>
          </w:p>
        </w:tc>
        <w:tc>
          <w:tcPr>
            <w:tcW w:type="dxa" w:w="864"/>
            <w:shd w:fill="1B365D"/>
            <w:tcMar>
              <w:top w:w="120" w:type="dxa"/>
              <w:bottom w:w="120" w:type="dxa"/>
              <w:left w:w="140" w:type="dxa"/>
              <w:right w:w="140" w:type="dxa"/>
            </w:tcMar>
          </w:tcPr>
          <w:p>
            <w:pPr>
              <w:jc w:val="center"/>
            </w:pPr>
            <w:r>
              <w:rPr>
                <w:rFonts w:ascii="Calibri" w:hAnsi="Calibri"/>
                <w:b/>
                <w:color w:val="FFFFFF"/>
                <w:sz w:val="20"/>
              </w:rPr>
              <w:t>p-value</w:t>
            </w:r>
          </w:p>
        </w:tc>
        <w:tc>
          <w:tcPr>
            <w:tcW w:type="dxa" w:w="1728"/>
            <w:shd w:fill="1B365D"/>
            <w:tcMar>
              <w:top w:w="120" w:type="dxa"/>
              <w:bottom w:w="120" w:type="dxa"/>
              <w:left w:w="140" w:type="dxa"/>
              <w:right w:w="140" w:type="dxa"/>
            </w:tcMar>
          </w:tcPr>
          <w:p>
            <w:pPr>
              <w:jc w:val="center"/>
            </w:pPr>
            <w:r>
              <w:rPr>
                <w:rFonts w:ascii="Calibri" w:hAnsi="Calibri"/>
                <w:b/>
                <w:color w:val="FFFFFF"/>
                <w:sz w:val="20"/>
              </w:rPr>
              <w:t>Significance</w:t>
            </w:r>
          </w:p>
        </w:tc>
      </w:tr>
      <w:tr>
        <w:tc>
          <w:tcPr>
            <w:tcW w:type="dxa" w:w="1296"/>
            <w:shd w:fill="FFFFFF"/>
            <w:tcMar>
              <w:top w:w="80" w:type="dxa"/>
              <w:bottom w:w="80" w:type="dxa"/>
              <w:left w:w="140" w:type="dxa"/>
              <w:right w:w="140" w:type="dxa"/>
            </w:tcMar>
          </w:tcPr>
          <w:p>
            <w:pPr>
              <w:jc w:val="left"/>
            </w:pPr>
            <w:r>
              <w:rPr>
                <w:rFonts w:ascii="Calibri" w:hAnsi="Calibri"/>
                <w:sz w:val="19"/>
              </w:rPr>
              <w:t>Test MAE</w:t>
            </w:r>
          </w:p>
        </w:tc>
        <w:tc>
          <w:tcPr>
            <w:tcW w:type="dxa" w:w="1584"/>
            <w:shd w:fill="FFFFFF"/>
            <w:tcMar>
              <w:top w:w="80" w:type="dxa"/>
              <w:bottom w:w="80" w:type="dxa"/>
              <w:left w:w="140" w:type="dxa"/>
              <w:right w:w="140" w:type="dxa"/>
            </w:tcMar>
          </w:tcPr>
          <w:p>
            <w:pPr>
              <w:jc w:val="center"/>
            </w:pPr>
            <w:r>
              <w:rPr>
                <w:rFonts w:ascii="Calibri" w:hAnsi="Calibri"/>
                <w:sz w:val="19"/>
              </w:rPr>
              <w:t>Persistence</w:t>
            </w:r>
          </w:p>
        </w:tc>
        <w:tc>
          <w:tcPr>
            <w:tcW w:type="dxa" w:w="1728"/>
            <w:shd w:fill="FFFFFF"/>
            <w:tcMar>
              <w:top w:w="80" w:type="dxa"/>
              <w:bottom w:w="80" w:type="dxa"/>
              <w:left w:w="140" w:type="dxa"/>
              <w:right w:w="140" w:type="dxa"/>
            </w:tcMar>
          </w:tcPr>
          <w:p>
            <w:pPr>
              <w:jc w:val="center"/>
            </w:pPr>
            <w:r>
              <w:rPr>
                <w:rFonts w:ascii="Calibri" w:hAnsi="Calibri"/>
                <w:sz w:val="19"/>
              </w:rPr>
              <w:t>6.0069 ± 0.0000</w:t>
            </w:r>
          </w:p>
        </w:tc>
        <w:tc>
          <w:tcPr>
            <w:tcW w:type="dxa" w:w="1728"/>
            <w:shd w:fill="FFFFFF"/>
            <w:tcMar>
              <w:top w:w="80" w:type="dxa"/>
              <w:bottom w:w="80" w:type="dxa"/>
              <w:left w:w="140" w:type="dxa"/>
              <w:right w:w="140" w:type="dxa"/>
            </w:tcMar>
          </w:tcPr>
          <w:p>
            <w:pPr>
              <w:jc w:val="center"/>
            </w:pPr>
            <w:r>
              <w:rPr>
                <w:rFonts w:ascii="Calibri" w:hAnsi="Calibri"/>
                <w:sz w:val="19"/>
              </w:rPr>
              <w:t>5.8141 ± 0.0210</w:t>
            </w:r>
          </w:p>
        </w:tc>
        <w:tc>
          <w:tcPr>
            <w:tcW w:type="dxa" w:w="1152"/>
            <w:shd w:fill="FFFFFF"/>
            <w:tcMar>
              <w:top w:w="80" w:type="dxa"/>
              <w:bottom w:w="80" w:type="dxa"/>
              <w:left w:w="140" w:type="dxa"/>
              <w:right w:w="140" w:type="dxa"/>
            </w:tcMar>
          </w:tcPr>
          <w:p>
            <w:pPr>
              <w:jc w:val="center"/>
            </w:pPr>
            <w:r>
              <w:rPr>
                <w:rFonts w:ascii="Calibri" w:hAnsi="Calibri"/>
                <w:sz w:val="19"/>
              </w:rPr>
              <w:t>+3.21%</w:t>
            </w:r>
          </w:p>
        </w:tc>
        <w:tc>
          <w:tcPr>
            <w:tcW w:type="dxa" w:w="720"/>
            <w:shd w:fill="FFFFFF"/>
            <w:tcMar>
              <w:top w:w="80" w:type="dxa"/>
              <w:bottom w:w="80" w:type="dxa"/>
              <w:left w:w="140" w:type="dxa"/>
              <w:right w:w="140" w:type="dxa"/>
            </w:tcMar>
          </w:tcPr>
          <w:p>
            <w:pPr>
              <w:jc w:val="center"/>
            </w:pPr>
            <w:r>
              <w:rPr>
                <w:rFonts w:ascii="Calibri" w:hAnsi="Calibri"/>
                <w:sz w:val="19"/>
              </w:rPr>
              <w:t>0.0</w:t>
            </w:r>
          </w:p>
        </w:tc>
        <w:tc>
          <w:tcPr>
            <w:tcW w:type="dxa" w:w="864"/>
            <w:shd w:fill="FFFFFF"/>
            <w:tcMar>
              <w:top w:w="80" w:type="dxa"/>
              <w:bottom w:w="80" w:type="dxa"/>
              <w:left w:w="140" w:type="dxa"/>
              <w:right w:w="140" w:type="dxa"/>
            </w:tcMar>
          </w:tcPr>
          <w:p>
            <w:pPr>
              <w:jc w:val="center"/>
            </w:pPr>
            <w:r>
              <w:rPr>
                <w:rFonts w:ascii="Calibri" w:hAnsi="Calibri"/>
                <w:sz w:val="19"/>
              </w:rPr>
              <w:t>0.0010</w:t>
            </w:r>
          </w:p>
        </w:tc>
        <w:tc>
          <w:tcPr>
            <w:tcW w:type="dxa" w:w="1728"/>
            <w:shd w:fill="FFFFFF"/>
            <w:tcMar>
              <w:top w:w="80" w:type="dxa"/>
              <w:bottom w:w="80" w:type="dxa"/>
              <w:left w:w="140" w:type="dxa"/>
              <w:right w:w="140" w:type="dxa"/>
            </w:tcMar>
          </w:tcPr>
          <w:p>
            <w:pPr>
              <w:jc w:val="center"/>
            </w:pPr>
            <w:r>
              <w:rPr>
                <w:rFonts w:ascii="Calibri" w:hAnsi="Calibri"/>
                <w:sz w:val="19"/>
              </w:rPr>
              <w:t>Significant (p &lt; 0.01)</w:t>
            </w:r>
          </w:p>
        </w:tc>
      </w:tr>
      <w:tr>
        <w:tc>
          <w:tcPr>
            <w:tcW w:type="dxa" w:w="1296"/>
            <w:shd w:fill="F7FAFC"/>
            <w:tcMar>
              <w:top w:w="80" w:type="dxa"/>
              <w:bottom w:w="80" w:type="dxa"/>
              <w:left w:w="140" w:type="dxa"/>
              <w:right w:w="140" w:type="dxa"/>
            </w:tcMar>
          </w:tcPr>
          <w:p>
            <w:pPr>
              <w:jc w:val="left"/>
            </w:pPr>
            <w:r>
              <w:rPr>
                <w:rFonts w:ascii="Calibri" w:hAnsi="Calibri"/>
                <w:sz w:val="19"/>
              </w:rPr>
              <w:t>Test MAE</w:t>
            </w:r>
          </w:p>
        </w:tc>
        <w:tc>
          <w:tcPr>
            <w:tcW w:type="dxa" w:w="1584"/>
            <w:shd w:fill="F7FAFC"/>
            <w:tcMar>
              <w:top w:w="80" w:type="dxa"/>
              <w:bottom w:w="80" w:type="dxa"/>
              <w:left w:w="140" w:type="dxa"/>
              <w:right w:w="140" w:type="dxa"/>
            </w:tcMar>
          </w:tcPr>
          <w:p>
            <w:pPr>
              <w:jc w:val="center"/>
            </w:pPr>
            <w:r>
              <w:rPr>
                <w:rFonts w:ascii="Calibri" w:hAnsi="Calibri"/>
                <w:sz w:val="19"/>
              </w:rPr>
              <w:t>Case-only XGBoost</w:t>
            </w:r>
          </w:p>
        </w:tc>
        <w:tc>
          <w:tcPr>
            <w:tcW w:type="dxa" w:w="1728"/>
            <w:shd w:fill="F7FAFC"/>
            <w:tcMar>
              <w:top w:w="80" w:type="dxa"/>
              <w:bottom w:w="80" w:type="dxa"/>
              <w:left w:w="140" w:type="dxa"/>
              <w:right w:w="140" w:type="dxa"/>
            </w:tcMar>
          </w:tcPr>
          <w:p>
            <w:pPr>
              <w:jc w:val="center"/>
            </w:pPr>
            <w:r>
              <w:rPr>
                <w:rFonts w:ascii="Calibri" w:hAnsi="Calibri"/>
                <w:sz w:val="19"/>
              </w:rPr>
              <w:t>5.8696 ± 0.0170</w:t>
            </w:r>
          </w:p>
        </w:tc>
        <w:tc>
          <w:tcPr>
            <w:tcW w:type="dxa" w:w="1728"/>
            <w:shd w:fill="F7FAFC"/>
            <w:tcMar>
              <w:top w:w="80" w:type="dxa"/>
              <w:bottom w:w="80" w:type="dxa"/>
              <w:left w:w="140" w:type="dxa"/>
              <w:right w:w="140" w:type="dxa"/>
            </w:tcMar>
          </w:tcPr>
          <w:p>
            <w:pPr>
              <w:jc w:val="center"/>
            </w:pPr>
            <w:r>
              <w:rPr>
                <w:rFonts w:ascii="Calibri" w:hAnsi="Calibri"/>
                <w:sz w:val="19"/>
              </w:rPr>
              <w:t>5.8141 ± 0.0210</w:t>
            </w:r>
          </w:p>
        </w:tc>
        <w:tc>
          <w:tcPr>
            <w:tcW w:type="dxa" w:w="1152"/>
            <w:shd w:fill="F7FAFC"/>
            <w:tcMar>
              <w:top w:w="80" w:type="dxa"/>
              <w:bottom w:w="80" w:type="dxa"/>
              <w:left w:w="140" w:type="dxa"/>
              <w:right w:w="140" w:type="dxa"/>
            </w:tcMar>
          </w:tcPr>
          <w:p>
            <w:pPr>
              <w:jc w:val="center"/>
            </w:pPr>
            <w:r>
              <w:rPr>
                <w:rFonts w:ascii="Calibri" w:hAnsi="Calibri"/>
                <w:sz w:val="19"/>
              </w:rPr>
              <w:t>+0.95%</w:t>
            </w:r>
          </w:p>
        </w:tc>
        <w:tc>
          <w:tcPr>
            <w:tcW w:type="dxa" w:w="720"/>
            <w:shd w:fill="F7FAFC"/>
            <w:tcMar>
              <w:top w:w="80" w:type="dxa"/>
              <w:bottom w:w="80" w:type="dxa"/>
              <w:left w:w="140" w:type="dxa"/>
              <w:right w:w="140" w:type="dxa"/>
            </w:tcMar>
          </w:tcPr>
          <w:p>
            <w:pPr>
              <w:jc w:val="center"/>
            </w:pPr>
            <w:r>
              <w:rPr>
                <w:rFonts w:ascii="Calibri" w:hAnsi="Calibri"/>
                <w:sz w:val="19"/>
              </w:rPr>
              <w:t>0.0</w:t>
            </w:r>
          </w:p>
        </w:tc>
        <w:tc>
          <w:tcPr>
            <w:tcW w:type="dxa" w:w="864"/>
            <w:shd w:fill="F7FAFC"/>
            <w:tcMar>
              <w:top w:w="80" w:type="dxa"/>
              <w:bottom w:w="80" w:type="dxa"/>
              <w:left w:w="140" w:type="dxa"/>
              <w:right w:w="140" w:type="dxa"/>
            </w:tcMar>
          </w:tcPr>
          <w:p>
            <w:pPr>
              <w:jc w:val="center"/>
            </w:pPr>
            <w:r>
              <w:rPr>
                <w:rFonts w:ascii="Calibri" w:hAnsi="Calibri"/>
                <w:sz w:val="19"/>
              </w:rPr>
              <w:t>0.0010</w:t>
            </w:r>
          </w:p>
        </w:tc>
        <w:tc>
          <w:tcPr>
            <w:tcW w:type="dxa" w:w="1728"/>
            <w:shd w:fill="F7FAFC"/>
            <w:tcMar>
              <w:top w:w="80" w:type="dxa"/>
              <w:bottom w:w="80" w:type="dxa"/>
              <w:left w:w="140" w:type="dxa"/>
              <w:right w:w="140" w:type="dxa"/>
            </w:tcMar>
          </w:tcPr>
          <w:p>
            <w:pPr>
              <w:jc w:val="center"/>
            </w:pPr>
            <w:r>
              <w:rPr>
                <w:rFonts w:ascii="Calibri" w:hAnsi="Calibri"/>
                <w:sz w:val="19"/>
              </w:rPr>
              <w:t>Significant (p &lt; 0.01)</w:t>
            </w:r>
          </w:p>
        </w:tc>
      </w:tr>
      <w:tr>
        <w:tc>
          <w:tcPr>
            <w:tcW w:type="dxa" w:w="1296"/>
            <w:shd w:fill="FFFFFF"/>
            <w:tcMar>
              <w:top w:w="80" w:type="dxa"/>
              <w:bottom w:w="80" w:type="dxa"/>
              <w:left w:w="140" w:type="dxa"/>
              <w:right w:w="140" w:type="dxa"/>
            </w:tcMar>
          </w:tcPr>
          <w:p>
            <w:pPr>
              <w:jc w:val="left"/>
            </w:pPr>
            <w:r>
              <w:rPr>
                <w:rFonts w:ascii="Calibri" w:hAnsi="Calibri"/>
                <w:sz w:val="19"/>
              </w:rPr>
              <w:t>Test RMSE</w:t>
            </w:r>
          </w:p>
        </w:tc>
        <w:tc>
          <w:tcPr>
            <w:tcW w:type="dxa" w:w="1584"/>
            <w:shd w:fill="FFFFFF"/>
            <w:tcMar>
              <w:top w:w="80" w:type="dxa"/>
              <w:bottom w:w="80" w:type="dxa"/>
              <w:left w:w="140" w:type="dxa"/>
              <w:right w:w="140" w:type="dxa"/>
            </w:tcMar>
          </w:tcPr>
          <w:p>
            <w:pPr>
              <w:jc w:val="center"/>
            </w:pPr>
            <w:r>
              <w:rPr>
                <w:rFonts w:ascii="Calibri" w:hAnsi="Calibri"/>
                <w:sz w:val="19"/>
              </w:rPr>
              <w:t>Persistence</w:t>
            </w:r>
          </w:p>
        </w:tc>
        <w:tc>
          <w:tcPr>
            <w:tcW w:type="dxa" w:w="1728"/>
            <w:shd w:fill="FFFFFF"/>
            <w:tcMar>
              <w:top w:w="80" w:type="dxa"/>
              <w:bottom w:w="80" w:type="dxa"/>
              <w:left w:w="140" w:type="dxa"/>
              <w:right w:w="140" w:type="dxa"/>
            </w:tcMar>
          </w:tcPr>
          <w:p>
            <w:pPr>
              <w:jc w:val="center"/>
            </w:pPr>
            <w:r>
              <w:rPr>
                <w:rFonts w:ascii="Calibri" w:hAnsi="Calibri"/>
                <w:sz w:val="19"/>
              </w:rPr>
              <w:t>9.2508 ± 0.0000</w:t>
            </w:r>
          </w:p>
        </w:tc>
        <w:tc>
          <w:tcPr>
            <w:tcW w:type="dxa" w:w="1728"/>
            <w:shd w:fill="FFFFFF"/>
            <w:tcMar>
              <w:top w:w="80" w:type="dxa"/>
              <w:bottom w:w="80" w:type="dxa"/>
              <w:left w:w="140" w:type="dxa"/>
              <w:right w:w="140" w:type="dxa"/>
            </w:tcMar>
          </w:tcPr>
          <w:p>
            <w:pPr>
              <w:jc w:val="center"/>
            </w:pPr>
            <w:r>
              <w:rPr>
                <w:rFonts w:ascii="Calibri" w:hAnsi="Calibri"/>
                <w:sz w:val="19"/>
              </w:rPr>
              <w:t>8.8959 ± 0.0177</w:t>
            </w:r>
          </w:p>
        </w:tc>
        <w:tc>
          <w:tcPr>
            <w:tcW w:type="dxa" w:w="1152"/>
            <w:shd w:fill="FFFFFF"/>
            <w:tcMar>
              <w:top w:w="80" w:type="dxa"/>
              <w:bottom w:w="80" w:type="dxa"/>
              <w:left w:w="140" w:type="dxa"/>
              <w:right w:w="140" w:type="dxa"/>
            </w:tcMar>
          </w:tcPr>
          <w:p>
            <w:pPr>
              <w:jc w:val="center"/>
            </w:pPr>
            <w:r>
              <w:rPr>
                <w:rFonts w:ascii="Calibri" w:hAnsi="Calibri"/>
                <w:sz w:val="19"/>
              </w:rPr>
              <w:t>+3.84%</w:t>
            </w:r>
          </w:p>
        </w:tc>
        <w:tc>
          <w:tcPr>
            <w:tcW w:type="dxa" w:w="720"/>
            <w:shd w:fill="FFFFFF"/>
            <w:tcMar>
              <w:top w:w="80" w:type="dxa"/>
              <w:bottom w:w="80" w:type="dxa"/>
              <w:left w:w="140" w:type="dxa"/>
              <w:right w:w="140" w:type="dxa"/>
            </w:tcMar>
          </w:tcPr>
          <w:p>
            <w:pPr>
              <w:jc w:val="center"/>
            </w:pPr>
            <w:r>
              <w:rPr>
                <w:rFonts w:ascii="Calibri" w:hAnsi="Calibri"/>
                <w:sz w:val="19"/>
              </w:rPr>
              <w:t>0.0</w:t>
            </w:r>
          </w:p>
        </w:tc>
        <w:tc>
          <w:tcPr>
            <w:tcW w:type="dxa" w:w="864"/>
            <w:shd w:fill="FFFFFF"/>
            <w:tcMar>
              <w:top w:w="80" w:type="dxa"/>
              <w:bottom w:w="80" w:type="dxa"/>
              <w:left w:w="140" w:type="dxa"/>
              <w:right w:w="140" w:type="dxa"/>
            </w:tcMar>
          </w:tcPr>
          <w:p>
            <w:pPr>
              <w:jc w:val="center"/>
            </w:pPr>
            <w:r>
              <w:rPr>
                <w:rFonts w:ascii="Calibri" w:hAnsi="Calibri"/>
                <w:sz w:val="19"/>
              </w:rPr>
              <w:t>0.0010</w:t>
            </w:r>
          </w:p>
        </w:tc>
        <w:tc>
          <w:tcPr>
            <w:tcW w:type="dxa" w:w="1728"/>
            <w:shd w:fill="FFFFFF"/>
            <w:tcMar>
              <w:top w:w="80" w:type="dxa"/>
              <w:bottom w:w="80" w:type="dxa"/>
              <w:left w:w="140" w:type="dxa"/>
              <w:right w:w="140" w:type="dxa"/>
            </w:tcMar>
          </w:tcPr>
          <w:p>
            <w:pPr>
              <w:jc w:val="center"/>
            </w:pPr>
            <w:r>
              <w:rPr>
                <w:rFonts w:ascii="Calibri" w:hAnsi="Calibri"/>
                <w:sz w:val="19"/>
              </w:rPr>
              <w:t>Significant (p &lt; 0.01)</w:t>
            </w:r>
          </w:p>
        </w:tc>
      </w:tr>
      <w:tr>
        <w:tc>
          <w:tcPr>
            <w:tcW w:type="dxa" w:w="1296"/>
            <w:shd w:fill="F7FAFC"/>
            <w:tcMar>
              <w:top w:w="80" w:type="dxa"/>
              <w:bottom w:w="80" w:type="dxa"/>
              <w:left w:w="140" w:type="dxa"/>
              <w:right w:w="140" w:type="dxa"/>
            </w:tcMar>
          </w:tcPr>
          <w:p>
            <w:pPr>
              <w:jc w:val="left"/>
            </w:pPr>
            <w:r>
              <w:rPr>
                <w:rFonts w:ascii="Calibri" w:hAnsi="Calibri"/>
                <w:sz w:val="19"/>
              </w:rPr>
              <w:t>Test RMSE</w:t>
            </w:r>
          </w:p>
        </w:tc>
        <w:tc>
          <w:tcPr>
            <w:tcW w:type="dxa" w:w="1584"/>
            <w:shd w:fill="F7FAFC"/>
            <w:tcMar>
              <w:top w:w="80" w:type="dxa"/>
              <w:bottom w:w="80" w:type="dxa"/>
              <w:left w:w="140" w:type="dxa"/>
              <w:right w:w="140" w:type="dxa"/>
            </w:tcMar>
          </w:tcPr>
          <w:p>
            <w:pPr>
              <w:jc w:val="center"/>
            </w:pPr>
            <w:r>
              <w:rPr>
                <w:rFonts w:ascii="Calibri" w:hAnsi="Calibri"/>
                <w:sz w:val="19"/>
              </w:rPr>
              <w:t>Case-only XGBoost</w:t>
            </w:r>
          </w:p>
        </w:tc>
        <w:tc>
          <w:tcPr>
            <w:tcW w:type="dxa" w:w="1728"/>
            <w:shd w:fill="F7FAFC"/>
            <w:tcMar>
              <w:top w:w="80" w:type="dxa"/>
              <w:bottom w:w="80" w:type="dxa"/>
              <w:left w:w="140" w:type="dxa"/>
              <w:right w:w="140" w:type="dxa"/>
            </w:tcMar>
          </w:tcPr>
          <w:p>
            <w:pPr>
              <w:jc w:val="center"/>
            </w:pPr>
            <w:r>
              <w:rPr>
                <w:rFonts w:ascii="Calibri" w:hAnsi="Calibri"/>
                <w:sz w:val="19"/>
              </w:rPr>
              <w:t>8.9721 ± 0.0206</w:t>
            </w:r>
          </w:p>
        </w:tc>
        <w:tc>
          <w:tcPr>
            <w:tcW w:type="dxa" w:w="1728"/>
            <w:shd w:fill="F7FAFC"/>
            <w:tcMar>
              <w:top w:w="80" w:type="dxa"/>
              <w:bottom w:w="80" w:type="dxa"/>
              <w:left w:w="140" w:type="dxa"/>
              <w:right w:w="140" w:type="dxa"/>
            </w:tcMar>
          </w:tcPr>
          <w:p>
            <w:pPr>
              <w:jc w:val="center"/>
            </w:pPr>
            <w:r>
              <w:rPr>
                <w:rFonts w:ascii="Calibri" w:hAnsi="Calibri"/>
                <w:sz w:val="19"/>
              </w:rPr>
              <w:t>8.8959 ± 0.0177</w:t>
            </w:r>
          </w:p>
        </w:tc>
        <w:tc>
          <w:tcPr>
            <w:tcW w:type="dxa" w:w="1152"/>
            <w:shd w:fill="F7FAFC"/>
            <w:tcMar>
              <w:top w:w="80" w:type="dxa"/>
              <w:bottom w:w="80" w:type="dxa"/>
              <w:left w:w="140" w:type="dxa"/>
              <w:right w:w="140" w:type="dxa"/>
            </w:tcMar>
          </w:tcPr>
          <w:p>
            <w:pPr>
              <w:jc w:val="center"/>
            </w:pPr>
            <w:r>
              <w:rPr>
                <w:rFonts w:ascii="Calibri" w:hAnsi="Calibri"/>
                <w:sz w:val="19"/>
              </w:rPr>
              <w:t>+0.85%</w:t>
            </w:r>
          </w:p>
        </w:tc>
        <w:tc>
          <w:tcPr>
            <w:tcW w:type="dxa" w:w="720"/>
            <w:shd w:fill="F7FAFC"/>
            <w:tcMar>
              <w:top w:w="80" w:type="dxa"/>
              <w:bottom w:w="80" w:type="dxa"/>
              <w:left w:w="140" w:type="dxa"/>
              <w:right w:w="140" w:type="dxa"/>
            </w:tcMar>
          </w:tcPr>
          <w:p>
            <w:pPr>
              <w:jc w:val="center"/>
            </w:pPr>
            <w:r>
              <w:rPr>
                <w:rFonts w:ascii="Calibri" w:hAnsi="Calibri"/>
                <w:sz w:val="19"/>
              </w:rPr>
              <w:t>0.0</w:t>
            </w:r>
          </w:p>
        </w:tc>
        <w:tc>
          <w:tcPr>
            <w:tcW w:type="dxa" w:w="864"/>
            <w:shd w:fill="F7FAFC"/>
            <w:tcMar>
              <w:top w:w="80" w:type="dxa"/>
              <w:bottom w:w="80" w:type="dxa"/>
              <w:left w:w="140" w:type="dxa"/>
              <w:right w:w="140" w:type="dxa"/>
            </w:tcMar>
          </w:tcPr>
          <w:p>
            <w:pPr>
              <w:jc w:val="center"/>
            </w:pPr>
            <w:r>
              <w:rPr>
                <w:rFonts w:ascii="Calibri" w:hAnsi="Calibri"/>
                <w:sz w:val="19"/>
              </w:rPr>
              <w:t>0.0010</w:t>
            </w:r>
          </w:p>
        </w:tc>
        <w:tc>
          <w:tcPr>
            <w:tcW w:type="dxa" w:w="1728"/>
            <w:shd w:fill="F7FAFC"/>
            <w:tcMar>
              <w:top w:w="80" w:type="dxa"/>
              <w:bottom w:w="80" w:type="dxa"/>
              <w:left w:w="140" w:type="dxa"/>
              <w:right w:w="140" w:type="dxa"/>
            </w:tcMar>
          </w:tcPr>
          <w:p>
            <w:pPr>
              <w:jc w:val="center"/>
            </w:pPr>
            <w:r>
              <w:rPr>
                <w:rFonts w:ascii="Calibri" w:hAnsi="Calibri"/>
                <w:sz w:val="19"/>
              </w:rPr>
              <w:t>Significant (p &lt; 0.01)</w:t>
            </w:r>
          </w:p>
        </w:tc>
      </w:tr>
      <w:tr>
        <w:tc>
          <w:tcPr>
            <w:tcW w:type="dxa" w:w="1296"/>
            <w:shd w:fill="FFFFFF"/>
            <w:tcMar>
              <w:top w:w="80" w:type="dxa"/>
              <w:bottom w:w="80" w:type="dxa"/>
              <w:left w:w="140" w:type="dxa"/>
              <w:right w:w="140" w:type="dxa"/>
            </w:tcMar>
          </w:tcPr>
          <w:p>
            <w:pPr>
              <w:jc w:val="left"/>
            </w:pPr>
            <w:r>
              <w:rPr>
                <w:rFonts w:ascii="Calibri" w:hAnsi="Calibri"/>
                <w:sz w:val="19"/>
              </w:rPr>
              <w:t>Test R²</w:t>
            </w:r>
          </w:p>
        </w:tc>
        <w:tc>
          <w:tcPr>
            <w:tcW w:type="dxa" w:w="1584"/>
            <w:shd w:fill="FFFFFF"/>
            <w:tcMar>
              <w:top w:w="80" w:type="dxa"/>
              <w:bottom w:w="80" w:type="dxa"/>
              <w:left w:w="140" w:type="dxa"/>
              <w:right w:w="140" w:type="dxa"/>
            </w:tcMar>
          </w:tcPr>
          <w:p>
            <w:pPr>
              <w:jc w:val="center"/>
            </w:pPr>
            <w:r>
              <w:rPr>
                <w:rFonts w:ascii="Calibri" w:hAnsi="Calibri"/>
                <w:sz w:val="19"/>
              </w:rPr>
              <w:t>Persistence</w:t>
            </w:r>
          </w:p>
        </w:tc>
        <w:tc>
          <w:tcPr>
            <w:tcW w:type="dxa" w:w="1728"/>
            <w:shd w:fill="FFFFFF"/>
            <w:tcMar>
              <w:top w:w="80" w:type="dxa"/>
              <w:bottom w:w="80" w:type="dxa"/>
              <w:left w:w="140" w:type="dxa"/>
              <w:right w:w="140" w:type="dxa"/>
            </w:tcMar>
          </w:tcPr>
          <w:p>
            <w:pPr>
              <w:jc w:val="center"/>
            </w:pPr>
            <w:r>
              <w:rPr>
                <w:rFonts w:ascii="Calibri" w:hAnsi="Calibri"/>
                <w:sz w:val="19"/>
              </w:rPr>
              <w:t>0.1879 ± 0.0000</w:t>
            </w:r>
          </w:p>
        </w:tc>
        <w:tc>
          <w:tcPr>
            <w:tcW w:type="dxa" w:w="1728"/>
            <w:shd w:fill="FFFFFF"/>
            <w:tcMar>
              <w:top w:w="80" w:type="dxa"/>
              <w:bottom w:w="80" w:type="dxa"/>
              <w:left w:w="140" w:type="dxa"/>
              <w:right w:w="140" w:type="dxa"/>
            </w:tcMar>
          </w:tcPr>
          <w:p>
            <w:pPr>
              <w:jc w:val="center"/>
            </w:pPr>
            <w:r>
              <w:rPr>
                <w:rFonts w:ascii="Calibri" w:hAnsi="Calibri"/>
                <w:sz w:val="19"/>
              </w:rPr>
              <w:t>0.2490 ± 0.0030</w:t>
            </w:r>
          </w:p>
        </w:tc>
        <w:tc>
          <w:tcPr>
            <w:tcW w:type="dxa" w:w="1152"/>
            <w:shd w:fill="FFFFFF"/>
            <w:tcMar>
              <w:top w:w="80" w:type="dxa"/>
              <w:bottom w:w="80" w:type="dxa"/>
              <w:left w:w="140" w:type="dxa"/>
              <w:right w:w="140" w:type="dxa"/>
            </w:tcMar>
          </w:tcPr>
          <w:p>
            <w:pPr>
              <w:jc w:val="center"/>
            </w:pPr>
            <w:r>
              <w:rPr>
                <w:rFonts w:ascii="Calibri" w:hAnsi="Calibri"/>
                <w:sz w:val="19"/>
              </w:rPr>
              <w:t>+32.52%</w:t>
            </w:r>
          </w:p>
        </w:tc>
        <w:tc>
          <w:tcPr>
            <w:tcW w:type="dxa" w:w="720"/>
            <w:shd w:fill="FFFFFF"/>
            <w:tcMar>
              <w:top w:w="80" w:type="dxa"/>
              <w:bottom w:w="80" w:type="dxa"/>
              <w:left w:w="140" w:type="dxa"/>
              <w:right w:w="140" w:type="dxa"/>
            </w:tcMar>
          </w:tcPr>
          <w:p>
            <w:pPr>
              <w:jc w:val="center"/>
            </w:pPr>
            <w:r>
              <w:rPr>
                <w:rFonts w:ascii="Calibri" w:hAnsi="Calibri"/>
                <w:sz w:val="19"/>
              </w:rPr>
              <w:t>55.0</w:t>
            </w:r>
          </w:p>
        </w:tc>
        <w:tc>
          <w:tcPr>
            <w:tcW w:type="dxa" w:w="864"/>
            <w:shd w:fill="FFFFFF"/>
            <w:tcMar>
              <w:top w:w="80" w:type="dxa"/>
              <w:bottom w:w="80" w:type="dxa"/>
              <w:left w:w="140" w:type="dxa"/>
              <w:right w:w="140" w:type="dxa"/>
            </w:tcMar>
          </w:tcPr>
          <w:p>
            <w:pPr>
              <w:jc w:val="center"/>
            </w:pPr>
            <w:r>
              <w:rPr>
                <w:rFonts w:ascii="Calibri" w:hAnsi="Calibri"/>
                <w:sz w:val="19"/>
              </w:rPr>
              <w:t>0.0010</w:t>
            </w:r>
          </w:p>
        </w:tc>
        <w:tc>
          <w:tcPr>
            <w:tcW w:type="dxa" w:w="1728"/>
            <w:shd w:fill="FFFFFF"/>
            <w:tcMar>
              <w:top w:w="80" w:type="dxa"/>
              <w:bottom w:w="80" w:type="dxa"/>
              <w:left w:w="140" w:type="dxa"/>
              <w:right w:w="140" w:type="dxa"/>
            </w:tcMar>
          </w:tcPr>
          <w:p>
            <w:pPr>
              <w:jc w:val="center"/>
            </w:pPr>
            <w:r>
              <w:rPr>
                <w:rFonts w:ascii="Calibri" w:hAnsi="Calibri"/>
                <w:sz w:val="19"/>
              </w:rPr>
              <w:t>Significant (p &lt; 0.01)</w:t>
            </w:r>
          </w:p>
        </w:tc>
      </w:tr>
      <w:tr>
        <w:tc>
          <w:tcPr>
            <w:tcW w:type="dxa" w:w="1296"/>
            <w:shd w:fill="F7FAFC"/>
            <w:tcMar>
              <w:top w:w="80" w:type="dxa"/>
              <w:bottom w:w="80" w:type="dxa"/>
              <w:left w:w="140" w:type="dxa"/>
              <w:right w:w="140" w:type="dxa"/>
            </w:tcMar>
          </w:tcPr>
          <w:p>
            <w:pPr>
              <w:jc w:val="left"/>
            </w:pPr>
            <w:r>
              <w:rPr>
                <w:rFonts w:ascii="Calibri" w:hAnsi="Calibri"/>
                <w:sz w:val="19"/>
              </w:rPr>
              <w:t>Test R²</w:t>
            </w:r>
          </w:p>
        </w:tc>
        <w:tc>
          <w:tcPr>
            <w:tcW w:type="dxa" w:w="1584"/>
            <w:shd w:fill="F7FAFC"/>
            <w:tcMar>
              <w:top w:w="80" w:type="dxa"/>
              <w:bottom w:w="80" w:type="dxa"/>
              <w:left w:w="140" w:type="dxa"/>
              <w:right w:w="140" w:type="dxa"/>
            </w:tcMar>
          </w:tcPr>
          <w:p>
            <w:pPr>
              <w:jc w:val="center"/>
            </w:pPr>
            <w:r>
              <w:rPr>
                <w:rFonts w:ascii="Calibri" w:hAnsi="Calibri"/>
                <w:sz w:val="19"/>
              </w:rPr>
              <w:t>Case-only XGBoost</w:t>
            </w:r>
          </w:p>
        </w:tc>
        <w:tc>
          <w:tcPr>
            <w:tcW w:type="dxa" w:w="1728"/>
            <w:shd w:fill="F7FAFC"/>
            <w:tcMar>
              <w:top w:w="80" w:type="dxa"/>
              <w:bottom w:w="80" w:type="dxa"/>
              <w:left w:w="140" w:type="dxa"/>
              <w:right w:w="140" w:type="dxa"/>
            </w:tcMar>
          </w:tcPr>
          <w:p>
            <w:pPr>
              <w:jc w:val="center"/>
            </w:pPr>
            <w:r>
              <w:rPr>
                <w:rFonts w:ascii="Calibri" w:hAnsi="Calibri"/>
                <w:sz w:val="19"/>
              </w:rPr>
              <w:t>0.2361 ± 0.0035</w:t>
            </w:r>
          </w:p>
        </w:tc>
        <w:tc>
          <w:tcPr>
            <w:tcW w:type="dxa" w:w="1728"/>
            <w:shd w:fill="F7FAFC"/>
            <w:tcMar>
              <w:top w:w="80" w:type="dxa"/>
              <w:bottom w:w="80" w:type="dxa"/>
              <w:left w:w="140" w:type="dxa"/>
              <w:right w:w="140" w:type="dxa"/>
            </w:tcMar>
          </w:tcPr>
          <w:p>
            <w:pPr>
              <w:jc w:val="center"/>
            </w:pPr>
            <w:r>
              <w:rPr>
                <w:rFonts w:ascii="Calibri" w:hAnsi="Calibri"/>
                <w:sz w:val="19"/>
              </w:rPr>
              <w:t>0.2490 ± 0.0030</w:t>
            </w:r>
          </w:p>
        </w:tc>
        <w:tc>
          <w:tcPr>
            <w:tcW w:type="dxa" w:w="1152"/>
            <w:shd w:fill="F7FAFC"/>
            <w:tcMar>
              <w:top w:w="80" w:type="dxa"/>
              <w:bottom w:w="80" w:type="dxa"/>
              <w:left w:w="140" w:type="dxa"/>
              <w:right w:w="140" w:type="dxa"/>
            </w:tcMar>
          </w:tcPr>
          <w:p>
            <w:pPr>
              <w:jc w:val="center"/>
            </w:pPr>
            <w:r>
              <w:rPr>
                <w:rFonts w:ascii="Calibri" w:hAnsi="Calibri"/>
                <w:sz w:val="19"/>
              </w:rPr>
              <w:t>+5.47%</w:t>
            </w:r>
          </w:p>
        </w:tc>
        <w:tc>
          <w:tcPr>
            <w:tcW w:type="dxa" w:w="720"/>
            <w:shd w:fill="F7FAFC"/>
            <w:tcMar>
              <w:top w:w="80" w:type="dxa"/>
              <w:bottom w:w="80" w:type="dxa"/>
              <w:left w:w="140" w:type="dxa"/>
              <w:right w:w="140" w:type="dxa"/>
            </w:tcMar>
          </w:tcPr>
          <w:p>
            <w:pPr>
              <w:jc w:val="center"/>
            </w:pPr>
            <w:r>
              <w:rPr>
                <w:rFonts w:ascii="Calibri" w:hAnsi="Calibri"/>
                <w:sz w:val="19"/>
              </w:rPr>
              <w:t>55.0</w:t>
            </w:r>
          </w:p>
        </w:tc>
        <w:tc>
          <w:tcPr>
            <w:tcW w:type="dxa" w:w="864"/>
            <w:shd w:fill="F7FAFC"/>
            <w:tcMar>
              <w:top w:w="80" w:type="dxa"/>
              <w:bottom w:w="80" w:type="dxa"/>
              <w:left w:w="140" w:type="dxa"/>
              <w:right w:w="140" w:type="dxa"/>
            </w:tcMar>
          </w:tcPr>
          <w:p>
            <w:pPr>
              <w:jc w:val="center"/>
            </w:pPr>
            <w:r>
              <w:rPr>
                <w:rFonts w:ascii="Calibri" w:hAnsi="Calibri"/>
                <w:sz w:val="19"/>
              </w:rPr>
              <w:t>0.0010</w:t>
            </w:r>
          </w:p>
        </w:tc>
        <w:tc>
          <w:tcPr>
            <w:tcW w:type="dxa" w:w="1728"/>
            <w:shd w:fill="F7FAFC"/>
            <w:tcMar>
              <w:top w:w="80" w:type="dxa"/>
              <w:bottom w:w="80" w:type="dxa"/>
              <w:left w:w="140" w:type="dxa"/>
              <w:right w:w="140" w:type="dxa"/>
            </w:tcMar>
          </w:tcPr>
          <w:p>
            <w:pPr>
              <w:jc w:val="center"/>
            </w:pPr>
            <w:r>
              <w:rPr>
                <w:rFonts w:ascii="Calibri" w:hAnsi="Calibri"/>
                <w:sz w:val="19"/>
              </w:rPr>
              <w:t>Significant (p &lt; 0.01)</w:t>
            </w:r>
          </w:p>
        </w:tc>
      </w:tr>
    </w:tbl>
    <w:p>
      <w:pPr>
        <w:spacing w:before="0" w:after="120"/>
      </w:pPr>
    </w:p>
    <w:p>
      <w:pPr>
        <w:spacing w:before="0" w:after="120" w:line="276" w:lineRule="auto"/>
      </w:pPr>
      <w:r>
        <w:rPr>
          <w:rFonts w:ascii="Calibri" w:hAnsi="Calibri"/>
          <w:sz w:val="22"/>
        </w:rPr>
        <w:t>The Wilcoxon test results provide overwhelming statistical confirmation: across all 10 independent runs, Full XGBoost consistently achieved a lower MAE and RMSE than both Persistence (W = 0.0, p = 0.0010) and Case-only XGBoost (W = 0.0, p = 0.0010). These results formally support Hypotheses H1 and H2 at the p &lt; 0.01 significance level.</w:t>
      </w:r>
    </w:p>
    <w:p>
      <w:pPr>
        <w:keepNext/>
        <w:spacing w:before="200" w:after="60"/>
      </w:pPr>
      <w:r>
        <w:rPr>
          <w:rFonts w:ascii="Calibri" w:hAnsi="Calibri"/>
          <w:b/>
          <w:color w:val="2C5282"/>
          <w:sz w:val="24"/>
        </w:rPr>
        <w:t>6.3 Per-City Performance and Geographic Consistency</w:t>
      </w:r>
    </w:p>
    <w:p>
      <w:pPr>
        <w:spacing w:before="0" w:after="120" w:line="276" w:lineRule="auto"/>
      </w:pPr>
      <w:r>
        <w:rPr>
          <w:rFonts w:ascii="Calibri" w:hAnsi="Calibri"/>
          <w:sz w:val="22"/>
        </w:rPr>
        <w:t>Table 5 presents the city-by-city disaggregation across Davao City, Cagayan de Oro City, and Zamboanga City.</w:t>
      </w:r>
    </w:p>
    <w:p>
      <w:pPr>
        <w:spacing w:before="0" w:after="120" w:line="276" w:lineRule="auto"/>
      </w:pPr>
      <w:r>
        <w:rPr>
          <w:rFonts w:ascii="Calibri" w:hAnsi="Calibri"/>
          <w:sz w:val="22"/>
        </w:rPr>
        <w:t>Table 5. City-specific forecast performance on the held-out test set (2020–2021).</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fill="1B365D"/>
            <w:tcMar>
              <w:top w:w="120" w:type="dxa"/>
              <w:bottom w:w="120" w:type="dxa"/>
              <w:left w:w="140" w:type="dxa"/>
              <w:right w:w="140" w:type="dxa"/>
            </w:tcMar>
          </w:tcPr>
          <w:p>
            <w:pPr>
              <w:jc w:val="center"/>
            </w:pPr>
            <w:r>
              <w:rPr>
                <w:rFonts w:ascii="Calibri" w:hAnsi="Calibri"/>
                <w:b/>
                <w:color w:val="FFFFFF"/>
                <w:sz w:val="20"/>
              </w:rPr>
              <w:t>City</w:t>
            </w:r>
          </w:p>
        </w:tc>
        <w:tc>
          <w:tcPr>
            <w:tcW w:type="dxa" w:w="1728"/>
            <w:shd w:fill="1B365D"/>
            <w:tcMar>
              <w:top w:w="120" w:type="dxa"/>
              <w:bottom w:w="120" w:type="dxa"/>
              <w:left w:w="140" w:type="dxa"/>
              <w:right w:w="140" w:type="dxa"/>
            </w:tcMar>
          </w:tcPr>
          <w:p>
            <w:pPr>
              <w:jc w:val="center"/>
            </w:pPr>
            <w:r>
              <w:rPr>
                <w:rFonts w:ascii="Calibri" w:hAnsi="Calibri"/>
                <w:b/>
                <w:color w:val="FFFFFF"/>
                <w:sz w:val="20"/>
              </w:rPr>
              <w:t>Model</w:t>
            </w:r>
          </w:p>
        </w:tc>
        <w:tc>
          <w:tcPr>
            <w:tcW w:type="dxa" w:w="1152"/>
            <w:shd w:fill="1B365D"/>
            <w:tcMar>
              <w:top w:w="120" w:type="dxa"/>
              <w:bottom w:w="120" w:type="dxa"/>
              <w:left w:w="140" w:type="dxa"/>
              <w:right w:w="140" w:type="dxa"/>
            </w:tcMar>
          </w:tcPr>
          <w:p>
            <w:pPr>
              <w:jc w:val="center"/>
            </w:pPr>
            <w:r>
              <w:rPr>
                <w:rFonts w:ascii="Calibri" w:hAnsi="Calibri"/>
                <w:b/>
                <w:color w:val="FFFFFF"/>
                <w:sz w:val="20"/>
              </w:rPr>
              <w:t>MAE (Cases)</w:t>
            </w:r>
          </w:p>
        </w:tc>
        <w:tc>
          <w:tcPr>
            <w:tcW w:type="dxa" w:w="1152"/>
            <w:shd w:fill="1B365D"/>
            <w:tcMar>
              <w:top w:w="120" w:type="dxa"/>
              <w:bottom w:w="120" w:type="dxa"/>
              <w:left w:w="140" w:type="dxa"/>
              <w:right w:w="140" w:type="dxa"/>
            </w:tcMar>
          </w:tcPr>
          <w:p>
            <w:pPr>
              <w:jc w:val="center"/>
            </w:pPr>
            <w:r>
              <w:rPr>
                <w:rFonts w:ascii="Calibri" w:hAnsi="Calibri"/>
                <w:b/>
                <w:color w:val="FFFFFF"/>
                <w:sz w:val="20"/>
              </w:rPr>
              <w:t>RMSE (Cases)</w:t>
            </w:r>
          </w:p>
        </w:tc>
        <w:tc>
          <w:tcPr>
            <w:tcW w:type="dxa" w:w="1008"/>
            <w:shd w:fill="1B365D"/>
            <w:tcMar>
              <w:top w:w="120" w:type="dxa"/>
              <w:bottom w:w="120" w:type="dxa"/>
              <w:left w:w="140" w:type="dxa"/>
              <w:right w:w="140" w:type="dxa"/>
            </w:tcMar>
          </w:tcPr>
          <w:p>
            <w:pPr>
              <w:jc w:val="center"/>
            </w:pPr>
            <w:r>
              <w:rPr>
                <w:rFonts w:ascii="Calibri" w:hAnsi="Calibri"/>
                <w:b/>
                <w:color w:val="FFFFFF"/>
                <w:sz w:val="20"/>
              </w:rPr>
              <w:t>R² Score</w:t>
            </w:r>
          </w:p>
        </w:tc>
        <w:tc>
          <w:tcPr>
            <w:tcW w:type="dxa" w:w="1152"/>
            <w:shd w:fill="1B365D"/>
            <w:tcMar>
              <w:top w:w="120" w:type="dxa"/>
              <w:bottom w:w="120" w:type="dxa"/>
              <w:left w:w="140" w:type="dxa"/>
              <w:right w:w="140" w:type="dxa"/>
            </w:tcMar>
          </w:tcPr>
          <w:p>
            <w:pPr>
              <w:jc w:val="center"/>
            </w:pPr>
            <w:r>
              <w:rPr>
                <w:rFonts w:ascii="Calibri" w:hAnsi="Calibri"/>
                <w:b/>
                <w:color w:val="FFFFFF"/>
                <w:sz w:val="20"/>
              </w:rPr>
              <w:t>Wilcoxon W vs Case-only</w:t>
            </w:r>
          </w:p>
        </w:tc>
        <w:tc>
          <w:tcPr>
            <w:tcW w:type="dxa" w:w="1152"/>
            <w:shd w:fill="1B365D"/>
            <w:tcMar>
              <w:top w:w="120" w:type="dxa"/>
              <w:bottom w:w="120" w:type="dxa"/>
              <w:left w:w="140" w:type="dxa"/>
              <w:right w:w="140" w:type="dxa"/>
            </w:tcMar>
          </w:tcPr>
          <w:p>
            <w:pPr>
              <w:jc w:val="center"/>
            </w:pPr>
            <w:r>
              <w:rPr>
                <w:rFonts w:ascii="Calibri" w:hAnsi="Calibri"/>
                <w:b/>
                <w:color w:val="FFFFFF"/>
                <w:sz w:val="20"/>
              </w:rPr>
              <w:t>p-value (vs Case-only)</w:t>
            </w:r>
          </w:p>
        </w:tc>
      </w:tr>
      <w:tr>
        <w:tc>
          <w:tcPr>
            <w:tcW w:type="dxa" w:w="2016"/>
            <w:shd w:fill="FFFFFF"/>
            <w:tcMar>
              <w:top w:w="80" w:type="dxa"/>
              <w:bottom w:w="80" w:type="dxa"/>
              <w:left w:w="140" w:type="dxa"/>
              <w:right w:w="140" w:type="dxa"/>
            </w:tcMar>
          </w:tcPr>
          <w:p>
            <w:pPr>
              <w:jc w:val="left"/>
            </w:pPr>
            <w:r>
              <w:rPr>
                <w:rFonts w:ascii="Calibri" w:hAnsi="Calibri"/>
                <w:sz w:val="19"/>
              </w:rPr>
              <w:t>Cagayan de Oro City</w:t>
            </w:r>
          </w:p>
        </w:tc>
        <w:tc>
          <w:tcPr>
            <w:tcW w:type="dxa" w:w="1728"/>
            <w:shd w:fill="FFFFFF"/>
            <w:tcMar>
              <w:top w:w="80" w:type="dxa"/>
              <w:bottom w:w="80" w:type="dxa"/>
              <w:left w:w="140" w:type="dxa"/>
              <w:right w:w="140" w:type="dxa"/>
            </w:tcMar>
          </w:tcPr>
          <w:p>
            <w:pPr>
              <w:jc w:val="center"/>
            </w:pPr>
            <w:r>
              <w:rPr>
                <w:rFonts w:ascii="Calibri" w:hAnsi="Calibri"/>
                <w:sz w:val="19"/>
              </w:rPr>
              <w:t>Persistence</w:t>
            </w:r>
          </w:p>
        </w:tc>
        <w:tc>
          <w:tcPr>
            <w:tcW w:type="dxa" w:w="1152"/>
            <w:shd w:fill="FFFFFF"/>
            <w:tcMar>
              <w:top w:w="80" w:type="dxa"/>
              <w:bottom w:w="80" w:type="dxa"/>
              <w:left w:w="140" w:type="dxa"/>
              <w:right w:w="140" w:type="dxa"/>
            </w:tcMar>
          </w:tcPr>
          <w:p>
            <w:pPr>
              <w:jc w:val="center"/>
            </w:pPr>
            <w:r>
              <w:rPr>
                <w:rFonts w:ascii="Calibri" w:hAnsi="Calibri"/>
                <w:sz w:val="19"/>
              </w:rPr>
              <w:t>6.52</w:t>
            </w:r>
          </w:p>
        </w:tc>
        <w:tc>
          <w:tcPr>
            <w:tcW w:type="dxa" w:w="1152"/>
            <w:shd w:fill="FFFFFF"/>
            <w:tcMar>
              <w:top w:w="80" w:type="dxa"/>
              <w:bottom w:w="80" w:type="dxa"/>
              <w:left w:w="140" w:type="dxa"/>
              <w:right w:w="140" w:type="dxa"/>
            </w:tcMar>
          </w:tcPr>
          <w:p>
            <w:pPr>
              <w:jc w:val="center"/>
            </w:pPr>
            <w:r>
              <w:rPr>
                <w:rFonts w:ascii="Calibri" w:hAnsi="Calibri"/>
                <w:sz w:val="19"/>
              </w:rPr>
              <w:t>9.58</w:t>
            </w:r>
          </w:p>
        </w:tc>
        <w:tc>
          <w:tcPr>
            <w:tcW w:type="dxa" w:w="1008"/>
            <w:shd w:fill="FFFFFF"/>
            <w:tcMar>
              <w:top w:w="80" w:type="dxa"/>
              <w:bottom w:w="80" w:type="dxa"/>
              <w:left w:w="140" w:type="dxa"/>
              <w:right w:w="140" w:type="dxa"/>
            </w:tcMar>
          </w:tcPr>
          <w:p>
            <w:pPr>
              <w:jc w:val="center"/>
            </w:pPr>
            <w:r>
              <w:rPr>
                <w:rFonts w:ascii="Calibri" w:hAnsi="Calibri"/>
                <w:sz w:val="19"/>
              </w:rPr>
              <w:t>-0.280</w:t>
            </w:r>
          </w:p>
        </w:tc>
        <w:tc>
          <w:tcPr>
            <w:tcW w:type="dxa" w:w="1152"/>
            <w:shd w:fill="FFFFFF"/>
            <w:tcMar>
              <w:top w:w="80" w:type="dxa"/>
              <w:bottom w:w="80" w:type="dxa"/>
              <w:left w:w="140" w:type="dxa"/>
              <w:right w:w="140" w:type="dxa"/>
            </w:tcMar>
          </w:tcPr>
          <w:p>
            <w:pPr>
              <w:jc w:val="center"/>
            </w:pPr>
            <w:r>
              <w:rPr>
                <w:rFonts w:ascii="Calibri" w:hAnsi="Calibri"/>
                <w:sz w:val="19"/>
              </w:rPr>
              <w:t>—</w:t>
            </w:r>
          </w:p>
        </w:tc>
        <w:tc>
          <w:tcPr>
            <w:tcW w:type="dxa" w:w="1152"/>
            <w:shd w:fill="FFFFFF"/>
            <w:tcMar>
              <w:top w:w="80" w:type="dxa"/>
              <w:bottom w:w="80" w:type="dxa"/>
              <w:left w:w="140" w:type="dxa"/>
              <w:right w:w="140" w:type="dxa"/>
            </w:tcMar>
          </w:tcPr>
          <w:p>
            <w:pPr>
              <w:jc w:val="center"/>
            </w:pPr>
            <w:r>
              <w:rPr>
                <w:rFonts w:ascii="Calibri" w:hAnsi="Calibri"/>
                <w:sz w:val="19"/>
              </w:rPr>
              <w:t>—</w:t>
            </w:r>
          </w:p>
        </w:tc>
      </w:tr>
      <w:tr>
        <w:tc>
          <w:tcPr>
            <w:tcW w:type="dxa" w:w="2016"/>
            <w:shd w:fill="F7FAFC"/>
            <w:tcMar>
              <w:top w:w="80" w:type="dxa"/>
              <w:bottom w:w="80" w:type="dxa"/>
              <w:left w:w="140" w:type="dxa"/>
              <w:right w:w="140" w:type="dxa"/>
            </w:tcMar>
          </w:tcPr>
          <w:p>
            <w:pPr>
              <w:jc w:val="left"/>
            </w:pPr>
            <w:r>
              <w:rPr>
                <w:rFonts w:ascii="Calibri" w:hAnsi="Calibri"/>
                <w:sz w:val="19"/>
              </w:rPr>
              <w:t>Cagayan de Oro City</w:t>
            </w:r>
          </w:p>
        </w:tc>
        <w:tc>
          <w:tcPr>
            <w:tcW w:type="dxa" w:w="1728"/>
            <w:shd w:fill="F7FAFC"/>
            <w:tcMar>
              <w:top w:w="80" w:type="dxa"/>
              <w:bottom w:w="80" w:type="dxa"/>
              <w:left w:w="140" w:type="dxa"/>
              <w:right w:w="140" w:type="dxa"/>
            </w:tcMar>
          </w:tcPr>
          <w:p>
            <w:pPr>
              <w:jc w:val="center"/>
            </w:pPr>
            <w:r>
              <w:rPr>
                <w:rFonts w:ascii="Calibri" w:hAnsi="Calibri"/>
                <w:sz w:val="19"/>
              </w:rPr>
              <w:t>Case-only XGBoost</w:t>
            </w:r>
          </w:p>
        </w:tc>
        <w:tc>
          <w:tcPr>
            <w:tcW w:type="dxa" w:w="1152"/>
            <w:shd w:fill="F7FAFC"/>
            <w:tcMar>
              <w:top w:w="80" w:type="dxa"/>
              <w:bottom w:w="80" w:type="dxa"/>
              <w:left w:w="140" w:type="dxa"/>
              <w:right w:w="140" w:type="dxa"/>
            </w:tcMar>
          </w:tcPr>
          <w:p>
            <w:pPr>
              <w:jc w:val="center"/>
            </w:pPr>
            <w:r>
              <w:rPr>
                <w:rFonts w:ascii="Calibri" w:hAnsi="Calibri"/>
                <w:sz w:val="19"/>
              </w:rPr>
              <w:t>6.42</w:t>
            </w:r>
          </w:p>
        </w:tc>
        <w:tc>
          <w:tcPr>
            <w:tcW w:type="dxa" w:w="1152"/>
            <w:shd w:fill="F7FAFC"/>
            <w:tcMar>
              <w:top w:w="80" w:type="dxa"/>
              <w:bottom w:w="80" w:type="dxa"/>
              <w:left w:w="140" w:type="dxa"/>
              <w:right w:w="140" w:type="dxa"/>
            </w:tcMar>
          </w:tcPr>
          <w:p>
            <w:pPr>
              <w:jc w:val="center"/>
            </w:pPr>
            <w:r>
              <w:rPr>
                <w:rFonts w:ascii="Calibri" w:hAnsi="Calibri"/>
                <w:sz w:val="19"/>
              </w:rPr>
              <w:t>9.02</w:t>
            </w:r>
          </w:p>
        </w:tc>
        <w:tc>
          <w:tcPr>
            <w:tcW w:type="dxa" w:w="1008"/>
            <w:shd w:fill="F7FAFC"/>
            <w:tcMar>
              <w:top w:w="80" w:type="dxa"/>
              <w:bottom w:w="80" w:type="dxa"/>
              <w:left w:w="140" w:type="dxa"/>
              <w:right w:w="140" w:type="dxa"/>
            </w:tcMar>
          </w:tcPr>
          <w:p>
            <w:pPr>
              <w:jc w:val="center"/>
            </w:pPr>
            <w:r>
              <w:rPr>
                <w:rFonts w:ascii="Calibri" w:hAnsi="Calibri"/>
                <w:sz w:val="19"/>
              </w:rPr>
              <w:t>-0.139</w:t>
            </w:r>
          </w:p>
        </w:tc>
        <w:tc>
          <w:tcPr>
            <w:tcW w:type="dxa" w:w="1152"/>
            <w:shd w:fill="F7FAFC"/>
            <w:tcMar>
              <w:top w:w="80" w:type="dxa"/>
              <w:bottom w:w="80" w:type="dxa"/>
              <w:left w:w="140" w:type="dxa"/>
              <w:right w:w="140" w:type="dxa"/>
            </w:tcMar>
          </w:tcPr>
          <w:p>
            <w:pPr>
              <w:jc w:val="center"/>
            </w:pPr>
            <w:r>
              <w:rPr>
                <w:rFonts w:ascii="Calibri" w:hAnsi="Calibri"/>
                <w:sz w:val="19"/>
              </w:rPr>
              <w:t>—</w:t>
            </w:r>
          </w:p>
        </w:tc>
        <w:tc>
          <w:tcPr>
            <w:tcW w:type="dxa" w:w="1152"/>
            <w:shd w:fill="F7FAFC"/>
            <w:tcMar>
              <w:top w:w="80" w:type="dxa"/>
              <w:bottom w:w="80" w:type="dxa"/>
              <w:left w:w="140" w:type="dxa"/>
              <w:right w:w="140" w:type="dxa"/>
            </w:tcMar>
          </w:tcPr>
          <w:p>
            <w:pPr>
              <w:jc w:val="center"/>
            </w:pPr>
            <w:r>
              <w:rPr>
                <w:rFonts w:ascii="Calibri" w:hAnsi="Calibri"/>
                <w:sz w:val="19"/>
              </w:rPr>
              <w:t>—</w:t>
            </w:r>
          </w:p>
        </w:tc>
      </w:tr>
      <w:tr>
        <w:tc>
          <w:tcPr>
            <w:tcW w:type="dxa" w:w="2016"/>
            <w:shd w:fill="FFFFFF"/>
            <w:tcMar>
              <w:top w:w="80" w:type="dxa"/>
              <w:bottom w:w="80" w:type="dxa"/>
              <w:left w:w="140" w:type="dxa"/>
              <w:right w:w="140" w:type="dxa"/>
            </w:tcMar>
          </w:tcPr>
          <w:p>
            <w:pPr>
              <w:jc w:val="left"/>
            </w:pPr>
            <w:r>
              <w:rPr>
                <w:rFonts w:ascii="Calibri" w:hAnsi="Calibri"/>
                <w:sz w:val="19"/>
              </w:rPr>
              <w:t>Cagayan de Oro City</w:t>
            </w:r>
          </w:p>
        </w:tc>
        <w:tc>
          <w:tcPr>
            <w:tcW w:type="dxa" w:w="1728"/>
            <w:shd w:fill="FFFFFF"/>
            <w:tcMar>
              <w:top w:w="80" w:type="dxa"/>
              <w:bottom w:w="80" w:type="dxa"/>
              <w:left w:w="140" w:type="dxa"/>
              <w:right w:w="140" w:type="dxa"/>
            </w:tcMar>
          </w:tcPr>
          <w:p>
            <w:pPr>
              <w:jc w:val="center"/>
            </w:pPr>
            <w:r>
              <w:rPr>
                <w:rFonts w:ascii="Calibri" w:hAnsi="Calibri"/>
                <w:sz w:val="19"/>
              </w:rPr>
              <w:t>Full XGBoost</w:t>
            </w:r>
          </w:p>
        </w:tc>
        <w:tc>
          <w:tcPr>
            <w:tcW w:type="dxa" w:w="1152"/>
            <w:shd w:fill="FFFFFF"/>
            <w:tcMar>
              <w:top w:w="80" w:type="dxa"/>
              <w:bottom w:w="80" w:type="dxa"/>
              <w:left w:w="140" w:type="dxa"/>
              <w:right w:w="140" w:type="dxa"/>
            </w:tcMar>
          </w:tcPr>
          <w:p>
            <w:pPr>
              <w:jc w:val="center"/>
            </w:pPr>
            <w:r>
              <w:rPr>
                <w:rFonts w:ascii="Calibri" w:hAnsi="Calibri"/>
                <w:sz w:val="19"/>
              </w:rPr>
              <w:t>6.29</w:t>
            </w:r>
          </w:p>
        </w:tc>
        <w:tc>
          <w:tcPr>
            <w:tcW w:type="dxa" w:w="1152"/>
            <w:shd w:fill="FFFFFF"/>
            <w:tcMar>
              <w:top w:w="80" w:type="dxa"/>
              <w:bottom w:w="80" w:type="dxa"/>
              <w:left w:w="140" w:type="dxa"/>
              <w:right w:w="140" w:type="dxa"/>
            </w:tcMar>
          </w:tcPr>
          <w:p>
            <w:pPr>
              <w:jc w:val="center"/>
            </w:pPr>
            <w:r>
              <w:rPr>
                <w:rFonts w:ascii="Calibri" w:hAnsi="Calibri"/>
                <w:sz w:val="19"/>
              </w:rPr>
              <w:t>8.91</w:t>
            </w:r>
          </w:p>
        </w:tc>
        <w:tc>
          <w:tcPr>
            <w:tcW w:type="dxa" w:w="1008"/>
            <w:shd w:fill="FFFFFF"/>
            <w:tcMar>
              <w:top w:w="80" w:type="dxa"/>
              <w:bottom w:w="80" w:type="dxa"/>
              <w:left w:w="140" w:type="dxa"/>
              <w:right w:w="140" w:type="dxa"/>
            </w:tcMar>
          </w:tcPr>
          <w:p>
            <w:pPr>
              <w:jc w:val="center"/>
            </w:pPr>
            <w:r>
              <w:rPr>
                <w:rFonts w:ascii="Calibri" w:hAnsi="Calibri"/>
                <w:sz w:val="19"/>
              </w:rPr>
              <w:t>-0.109</w:t>
            </w:r>
          </w:p>
        </w:tc>
        <w:tc>
          <w:tcPr>
            <w:tcW w:type="dxa" w:w="1152"/>
            <w:shd w:fill="FFFFFF"/>
            <w:tcMar>
              <w:top w:w="80" w:type="dxa"/>
              <w:bottom w:w="80" w:type="dxa"/>
              <w:left w:w="140" w:type="dxa"/>
              <w:right w:w="140" w:type="dxa"/>
            </w:tcMar>
          </w:tcPr>
          <w:p>
            <w:pPr>
              <w:jc w:val="center"/>
            </w:pPr>
            <w:r>
              <w:rPr>
                <w:rFonts w:ascii="Calibri" w:hAnsi="Calibri"/>
                <w:sz w:val="19"/>
              </w:rPr>
              <w:t>0.0</w:t>
            </w:r>
          </w:p>
        </w:tc>
        <w:tc>
          <w:tcPr>
            <w:tcW w:type="dxa" w:w="1152"/>
            <w:shd w:fill="FFFFFF"/>
            <w:tcMar>
              <w:top w:w="80" w:type="dxa"/>
              <w:bottom w:w="80" w:type="dxa"/>
              <w:left w:w="140" w:type="dxa"/>
              <w:right w:w="140" w:type="dxa"/>
            </w:tcMar>
          </w:tcPr>
          <w:p>
            <w:pPr>
              <w:jc w:val="center"/>
            </w:pPr>
            <w:r>
              <w:rPr>
                <w:rFonts w:ascii="Calibri" w:hAnsi="Calibri"/>
                <w:sz w:val="19"/>
              </w:rPr>
              <w:t>0.0010 (p &lt; 0.01)</w:t>
            </w:r>
          </w:p>
        </w:tc>
      </w:tr>
      <w:tr>
        <w:tc>
          <w:tcPr>
            <w:tcW w:type="dxa" w:w="2016"/>
            <w:shd w:fill="F7FAFC"/>
            <w:tcMar>
              <w:top w:w="80" w:type="dxa"/>
              <w:bottom w:w="80" w:type="dxa"/>
              <w:left w:w="140" w:type="dxa"/>
              <w:right w:w="140" w:type="dxa"/>
            </w:tcMar>
          </w:tcPr>
          <w:p>
            <w:pPr>
              <w:jc w:val="left"/>
            </w:pPr>
            <w:r>
              <w:rPr>
                <w:rFonts w:ascii="Calibri" w:hAnsi="Calibri"/>
                <w:sz w:val="19"/>
              </w:rPr>
              <w:t>Davao City</w:t>
            </w:r>
          </w:p>
        </w:tc>
        <w:tc>
          <w:tcPr>
            <w:tcW w:type="dxa" w:w="1728"/>
            <w:shd w:fill="F7FAFC"/>
            <w:tcMar>
              <w:top w:w="80" w:type="dxa"/>
              <w:bottom w:w="80" w:type="dxa"/>
              <w:left w:w="140" w:type="dxa"/>
              <w:right w:w="140" w:type="dxa"/>
            </w:tcMar>
          </w:tcPr>
          <w:p>
            <w:pPr>
              <w:jc w:val="center"/>
            </w:pPr>
            <w:r>
              <w:rPr>
                <w:rFonts w:ascii="Calibri" w:hAnsi="Calibri"/>
                <w:sz w:val="19"/>
              </w:rPr>
              <w:t>Persistence</w:t>
            </w:r>
          </w:p>
        </w:tc>
        <w:tc>
          <w:tcPr>
            <w:tcW w:type="dxa" w:w="1152"/>
            <w:shd w:fill="F7FAFC"/>
            <w:tcMar>
              <w:top w:w="80" w:type="dxa"/>
              <w:bottom w:w="80" w:type="dxa"/>
              <w:left w:w="140" w:type="dxa"/>
              <w:right w:w="140" w:type="dxa"/>
            </w:tcMar>
          </w:tcPr>
          <w:p>
            <w:pPr>
              <w:jc w:val="center"/>
            </w:pPr>
            <w:r>
              <w:rPr>
                <w:rFonts w:ascii="Calibri" w:hAnsi="Calibri"/>
                <w:sz w:val="19"/>
              </w:rPr>
              <w:t>7.85</w:t>
            </w:r>
          </w:p>
        </w:tc>
        <w:tc>
          <w:tcPr>
            <w:tcW w:type="dxa" w:w="1152"/>
            <w:shd w:fill="F7FAFC"/>
            <w:tcMar>
              <w:top w:w="80" w:type="dxa"/>
              <w:bottom w:w="80" w:type="dxa"/>
              <w:left w:w="140" w:type="dxa"/>
              <w:right w:w="140" w:type="dxa"/>
            </w:tcMar>
          </w:tcPr>
          <w:p>
            <w:pPr>
              <w:jc w:val="center"/>
            </w:pPr>
            <w:r>
              <w:rPr>
                <w:rFonts w:ascii="Calibri" w:hAnsi="Calibri"/>
                <w:sz w:val="19"/>
              </w:rPr>
              <w:t>11.02</w:t>
            </w:r>
          </w:p>
        </w:tc>
        <w:tc>
          <w:tcPr>
            <w:tcW w:type="dxa" w:w="1008"/>
            <w:shd w:fill="F7FAFC"/>
            <w:tcMar>
              <w:top w:w="80" w:type="dxa"/>
              <w:bottom w:w="80" w:type="dxa"/>
              <w:left w:w="140" w:type="dxa"/>
              <w:right w:w="140" w:type="dxa"/>
            </w:tcMar>
          </w:tcPr>
          <w:p>
            <w:pPr>
              <w:jc w:val="center"/>
            </w:pPr>
            <w:r>
              <w:rPr>
                <w:rFonts w:ascii="Calibri" w:hAnsi="Calibri"/>
                <w:sz w:val="19"/>
              </w:rPr>
              <w:t>-0.142</w:t>
            </w:r>
          </w:p>
        </w:tc>
        <w:tc>
          <w:tcPr>
            <w:tcW w:type="dxa" w:w="1152"/>
            <w:shd w:fill="F7FAFC"/>
            <w:tcMar>
              <w:top w:w="80" w:type="dxa"/>
              <w:bottom w:w="80" w:type="dxa"/>
              <w:left w:w="140" w:type="dxa"/>
              <w:right w:w="140" w:type="dxa"/>
            </w:tcMar>
          </w:tcPr>
          <w:p>
            <w:pPr>
              <w:jc w:val="center"/>
            </w:pPr>
            <w:r>
              <w:rPr>
                <w:rFonts w:ascii="Calibri" w:hAnsi="Calibri"/>
                <w:sz w:val="19"/>
              </w:rPr>
              <w:t>—</w:t>
            </w:r>
          </w:p>
        </w:tc>
        <w:tc>
          <w:tcPr>
            <w:tcW w:type="dxa" w:w="1152"/>
            <w:shd w:fill="F7FAFC"/>
            <w:tcMar>
              <w:top w:w="80" w:type="dxa"/>
              <w:bottom w:w="80" w:type="dxa"/>
              <w:left w:w="140" w:type="dxa"/>
              <w:right w:w="140" w:type="dxa"/>
            </w:tcMar>
          </w:tcPr>
          <w:p>
            <w:pPr>
              <w:jc w:val="center"/>
            </w:pPr>
            <w:r>
              <w:rPr>
                <w:rFonts w:ascii="Calibri" w:hAnsi="Calibri"/>
                <w:sz w:val="19"/>
              </w:rPr>
              <w:t>—</w:t>
            </w:r>
          </w:p>
        </w:tc>
      </w:tr>
      <w:tr>
        <w:tc>
          <w:tcPr>
            <w:tcW w:type="dxa" w:w="2016"/>
            <w:shd w:fill="FFFFFF"/>
            <w:tcMar>
              <w:top w:w="80" w:type="dxa"/>
              <w:bottom w:w="80" w:type="dxa"/>
              <w:left w:w="140" w:type="dxa"/>
              <w:right w:w="140" w:type="dxa"/>
            </w:tcMar>
          </w:tcPr>
          <w:p>
            <w:pPr>
              <w:jc w:val="left"/>
            </w:pPr>
            <w:r>
              <w:rPr>
                <w:rFonts w:ascii="Calibri" w:hAnsi="Calibri"/>
                <w:sz w:val="19"/>
              </w:rPr>
              <w:t>Davao City</w:t>
            </w:r>
          </w:p>
        </w:tc>
        <w:tc>
          <w:tcPr>
            <w:tcW w:type="dxa" w:w="1728"/>
            <w:shd w:fill="FFFFFF"/>
            <w:tcMar>
              <w:top w:w="80" w:type="dxa"/>
              <w:bottom w:w="80" w:type="dxa"/>
              <w:left w:w="140" w:type="dxa"/>
              <w:right w:w="140" w:type="dxa"/>
            </w:tcMar>
          </w:tcPr>
          <w:p>
            <w:pPr>
              <w:jc w:val="center"/>
            </w:pPr>
            <w:r>
              <w:rPr>
                <w:rFonts w:ascii="Calibri" w:hAnsi="Calibri"/>
                <w:sz w:val="19"/>
              </w:rPr>
              <w:t>Case-only XGBoost</w:t>
            </w:r>
          </w:p>
        </w:tc>
        <w:tc>
          <w:tcPr>
            <w:tcW w:type="dxa" w:w="1152"/>
            <w:shd w:fill="FFFFFF"/>
            <w:tcMar>
              <w:top w:w="80" w:type="dxa"/>
              <w:bottom w:w="80" w:type="dxa"/>
              <w:left w:w="140" w:type="dxa"/>
              <w:right w:w="140" w:type="dxa"/>
            </w:tcMar>
          </w:tcPr>
          <w:p>
            <w:pPr>
              <w:jc w:val="center"/>
            </w:pPr>
            <w:r>
              <w:rPr>
                <w:rFonts w:ascii="Calibri" w:hAnsi="Calibri"/>
                <w:sz w:val="19"/>
              </w:rPr>
              <w:t>7.51</w:t>
            </w:r>
          </w:p>
        </w:tc>
        <w:tc>
          <w:tcPr>
            <w:tcW w:type="dxa" w:w="1152"/>
            <w:shd w:fill="FFFFFF"/>
            <w:tcMar>
              <w:top w:w="80" w:type="dxa"/>
              <w:bottom w:w="80" w:type="dxa"/>
              <w:left w:w="140" w:type="dxa"/>
              <w:right w:w="140" w:type="dxa"/>
            </w:tcMar>
          </w:tcPr>
          <w:p>
            <w:pPr>
              <w:jc w:val="center"/>
            </w:pPr>
            <w:r>
              <w:rPr>
                <w:rFonts w:ascii="Calibri" w:hAnsi="Calibri"/>
                <w:sz w:val="19"/>
              </w:rPr>
              <w:t>10.42</w:t>
            </w:r>
          </w:p>
        </w:tc>
        <w:tc>
          <w:tcPr>
            <w:tcW w:type="dxa" w:w="1008"/>
            <w:shd w:fill="FFFFFF"/>
            <w:tcMar>
              <w:top w:w="80" w:type="dxa"/>
              <w:bottom w:w="80" w:type="dxa"/>
              <w:left w:w="140" w:type="dxa"/>
              <w:right w:w="140" w:type="dxa"/>
            </w:tcMar>
          </w:tcPr>
          <w:p>
            <w:pPr>
              <w:jc w:val="center"/>
            </w:pPr>
            <w:r>
              <w:rPr>
                <w:rFonts w:ascii="Calibri" w:hAnsi="Calibri"/>
                <w:sz w:val="19"/>
              </w:rPr>
              <w:t>-0.025</w:t>
            </w:r>
          </w:p>
        </w:tc>
        <w:tc>
          <w:tcPr>
            <w:tcW w:type="dxa" w:w="1152"/>
            <w:shd w:fill="FFFFFF"/>
            <w:tcMar>
              <w:top w:w="80" w:type="dxa"/>
              <w:bottom w:w="80" w:type="dxa"/>
              <w:left w:w="140" w:type="dxa"/>
              <w:right w:w="140" w:type="dxa"/>
            </w:tcMar>
          </w:tcPr>
          <w:p>
            <w:pPr>
              <w:jc w:val="center"/>
            </w:pPr>
            <w:r>
              <w:rPr>
                <w:rFonts w:ascii="Calibri" w:hAnsi="Calibri"/>
                <w:sz w:val="19"/>
              </w:rPr>
              <w:t>—</w:t>
            </w:r>
          </w:p>
        </w:tc>
        <w:tc>
          <w:tcPr>
            <w:tcW w:type="dxa" w:w="1152"/>
            <w:shd w:fill="FFFFFF"/>
            <w:tcMar>
              <w:top w:w="80" w:type="dxa"/>
              <w:bottom w:w="80" w:type="dxa"/>
              <w:left w:w="140" w:type="dxa"/>
              <w:right w:w="140" w:type="dxa"/>
            </w:tcMar>
          </w:tcPr>
          <w:p>
            <w:pPr>
              <w:jc w:val="center"/>
            </w:pPr>
            <w:r>
              <w:rPr>
                <w:rFonts w:ascii="Calibri" w:hAnsi="Calibri"/>
                <w:sz w:val="19"/>
              </w:rPr>
              <w:t>—</w:t>
            </w:r>
          </w:p>
        </w:tc>
      </w:tr>
      <w:tr>
        <w:tc>
          <w:tcPr>
            <w:tcW w:type="dxa" w:w="2016"/>
            <w:shd w:fill="F7FAFC"/>
            <w:tcMar>
              <w:top w:w="80" w:type="dxa"/>
              <w:bottom w:w="80" w:type="dxa"/>
              <w:left w:w="140" w:type="dxa"/>
              <w:right w:w="140" w:type="dxa"/>
            </w:tcMar>
          </w:tcPr>
          <w:p>
            <w:pPr>
              <w:jc w:val="left"/>
            </w:pPr>
            <w:r>
              <w:rPr>
                <w:rFonts w:ascii="Calibri" w:hAnsi="Calibri"/>
                <w:sz w:val="19"/>
              </w:rPr>
              <w:t>Davao City</w:t>
            </w:r>
          </w:p>
        </w:tc>
        <w:tc>
          <w:tcPr>
            <w:tcW w:type="dxa" w:w="1728"/>
            <w:shd w:fill="F7FAFC"/>
            <w:tcMar>
              <w:top w:w="80" w:type="dxa"/>
              <w:bottom w:w="80" w:type="dxa"/>
              <w:left w:w="140" w:type="dxa"/>
              <w:right w:w="140" w:type="dxa"/>
            </w:tcMar>
          </w:tcPr>
          <w:p>
            <w:pPr>
              <w:jc w:val="center"/>
            </w:pPr>
            <w:r>
              <w:rPr>
                <w:rFonts w:ascii="Calibri" w:hAnsi="Calibri"/>
                <w:sz w:val="19"/>
              </w:rPr>
              <w:t>Full XGBoost</w:t>
            </w:r>
          </w:p>
        </w:tc>
        <w:tc>
          <w:tcPr>
            <w:tcW w:type="dxa" w:w="1152"/>
            <w:shd w:fill="F7FAFC"/>
            <w:tcMar>
              <w:top w:w="80" w:type="dxa"/>
              <w:bottom w:w="80" w:type="dxa"/>
              <w:left w:w="140" w:type="dxa"/>
              <w:right w:w="140" w:type="dxa"/>
            </w:tcMar>
          </w:tcPr>
          <w:p>
            <w:pPr>
              <w:jc w:val="center"/>
            </w:pPr>
            <w:r>
              <w:rPr>
                <w:rFonts w:ascii="Calibri" w:hAnsi="Calibri"/>
                <w:sz w:val="19"/>
              </w:rPr>
              <w:t>7.39</w:t>
            </w:r>
          </w:p>
        </w:tc>
        <w:tc>
          <w:tcPr>
            <w:tcW w:type="dxa" w:w="1152"/>
            <w:shd w:fill="F7FAFC"/>
            <w:tcMar>
              <w:top w:w="80" w:type="dxa"/>
              <w:bottom w:w="80" w:type="dxa"/>
              <w:left w:w="140" w:type="dxa"/>
              <w:right w:w="140" w:type="dxa"/>
            </w:tcMar>
          </w:tcPr>
          <w:p>
            <w:pPr>
              <w:jc w:val="center"/>
            </w:pPr>
            <w:r>
              <w:rPr>
                <w:rFonts w:ascii="Calibri" w:hAnsi="Calibri"/>
                <w:sz w:val="19"/>
              </w:rPr>
              <w:t>10.01</w:t>
            </w:r>
          </w:p>
        </w:tc>
        <w:tc>
          <w:tcPr>
            <w:tcW w:type="dxa" w:w="1008"/>
            <w:shd w:fill="F7FAFC"/>
            <w:tcMar>
              <w:top w:w="80" w:type="dxa"/>
              <w:bottom w:w="80" w:type="dxa"/>
              <w:left w:w="140" w:type="dxa"/>
              <w:right w:w="140" w:type="dxa"/>
            </w:tcMar>
          </w:tcPr>
          <w:p>
            <w:pPr>
              <w:jc w:val="center"/>
            </w:pPr>
            <w:r>
              <w:rPr>
                <w:rFonts w:ascii="Calibri" w:hAnsi="Calibri"/>
                <w:sz w:val="19"/>
              </w:rPr>
              <w:t>+0.053</w:t>
            </w:r>
          </w:p>
        </w:tc>
        <w:tc>
          <w:tcPr>
            <w:tcW w:type="dxa" w:w="1152"/>
            <w:shd w:fill="F7FAFC"/>
            <w:tcMar>
              <w:top w:w="80" w:type="dxa"/>
              <w:bottom w:w="80" w:type="dxa"/>
              <w:left w:w="140" w:type="dxa"/>
              <w:right w:w="140" w:type="dxa"/>
            </w:tcMar>
          </w:tcPr>
          <w:p>
            <w:pPr>
              <w:jc w:val="center"/>
            </w:pPr>
            <w:r>
              <w:rPr>
                <w:rFonts w:ascii="Calibri" w:hAnsi="Calibri"/>
                <w:sz w:val="19"/>
              </w:rPr>
              <w:t>0.0</w:t>
            </w:r>
          </w:p>
        </w:tc>
        <w:tc>
          <w:tcPr>
            <w:tcW w:type="dxa" w:w="1152"/>
            <w:shd w:fill="F7FAFC"/>
            <w:tcMar>
              <w:top w:w="80" w:type="dxa"/>
              <w:bottom w:w="80" w:type="dxa"/>
              <w:left w:w="140" w:type="dxa"/>
              <w:right w:w="140" w:type="dxa"/>
            </w:tcMar>
          </w:tcPr>
          <w:p>
            <w:pPr>
              <w:jc w:val="center"/>
            </w:pPr>
            <w:r>
              <w:rPr>
                <w:rFonts w:ascii="Calibri" w:hAnsi="Calibri"/>
                <w:sz w:val="19"/>
              </w:rPr>
              <w:t>0.0010 (p &lt; 0.01)</w:t>
            </w:r>
          </w:p>
        </w:tc>
      </w:tr>
      <w:tr>
        <w:tc>
          <w:tcPr>
            <w:tcW w:type="dxa" w:w="2016"/>
            <w:shd w:fill="FFFFFF"/>
            <w:tcMar>
              <w:top w:w="80" w:type="dxa"/>
              <w:bottom w:w="80" w:type="dxa"/>
              <w:left w:w="140" w:type="dxa"/>
              <w:right w:w="140" w:type="dxa"/>
            </w:tcMar>
          </w:tcPr>
          <w:p>
            <w:pPr>
              <w:jc w:val="left"/>
            </w:pPr>
            <w:r>
              <w:rPr>
                <w:rFonts w:ascii="Calibri" w:hAnsi="Calibri"/>
                <w:sz w:val="19"/>
              </w:rPr>
              <w:t>Zamboanga City</w:t>
            </w:r>
          </w:p>
        </w:tc>
        <w:tc>
          <w:tcPr>
            <w:tcW w:type="dxa" w:w="1728"/>
            <w:shd w:fill="FFFFFF"/>
            <w:tcMar>
              <w:top w:w="80" w:type="dxa"/>
              <w:bottom w:w="80" w:type="dxa"/>
              <w:left w:w="140" w:type="dxa"/>
              <w:right w:w="140" w:type="dxa"/>
            </w:tcMar>
          </w:tcPr>
          <w:p>
            <w:pPr>
              <w:jc w:val="center"/>
            </w:pPr>
            <w:r>
              <w:rPr>
                <w:rFonts w:ascii="Calibri" w:hAnsi="Calibri"/>
                <w:sz w:val="19"/>
              </w:rPr>
              <w:t>Persistence</w:t>
            </w:r>
          </w:p>
        </w:tc>
        <w:tc>
          <w:tcPr>
            <w:tcW w:type="dxa" w:w="1152"/>
            <w:shd w:fill="FFFFFF"/>
            <w:tcMar>
              <w:top w:w="80" w:type="dxa"/>
              <w:bottom w:w="80" w:type="dxa"/>
              <w:left w:w="140" w:type="dxa"/>
              <w:right w:w="140" w:type="dxa"/>
            </w:tcMar>
          </w:tcPr>
          <w:p>
            <w:pPr>
              <w:jc w:val="center"/>
            </w:pPr>
            <w:r>
              <w:rPr>
                <w:rFonts w:ascii="Calibri" w:hAnsi="Calibri"/>
                <w:sz w:val="19"/>
              </w:rPr>
              <w:t>3.65</w:t>
            </w:r>
          </w:p>
        </w:tc>
        <w:tc>
          <w:tcPr>
            <w:tcW w:type="dxa" w:w="1152"/>
            <w:shd w:fill="FFFFFF"/>
            <w:tcMar>
              <w:top w:w="80" w:type="dxa"/>
              <w:bottom w:w="80" w:type="dxa"/>
              <w:left w:w="140" w:type="dxa"/>
              <w:right w:w="140" w:type="dxa"/>
            </w:tcMar>
          </w:tcPr>
          <w:p>
            <w:pPr>
              <w:jc w:val="center"/>
            </w:pPr>
            <w:r>
              <w:rPr>
                <w:rFonts w:ascii="Calibri" w:hAnsi="Calibri"/>
                <w:sz w:val="19"/>
              </w:rPr>
              <w:t>6.59</w:t>
            </w:r>
          </w:p>
        </w:tc>
        <w:tc>
          <w:tcPr>
            <w:tcW w:type="dxa" w:w="1008"/>
            <w:shd w:fill="FFFFFF"/>
            <w:tcMar>
              <w:top w:w="80" w:type="dxa"/>
              <w:bottom w:w="80" w:type="dxa"/>
              <w:left w:w="140" w:type="dxa"/>
              <w:right w:w="140" w:type="dxa"/>
            </w:tcMar>
          </w:tcPr>
          <w:p>
            <w:pPr>
              <w:jc w:val="center"/>
            </w:pPr>
            <w:r>
              <w:rPr>
                <w:rFonts w:ascii="Calibri" w:hAnsi="Calibri"/>
                <w:sz w:val="19"/>
              </w:rPr>
              <w:t>+0.302</w:t>
            </w:r>
          </w:p>
        </w:tc>
        <w:tc>
          <w:tcPr>
            <w:tcW w:type="dxa" w:w="1152"/>
            <w:shd w:fill="FFFFFF"/>
            <w:tcMar>
              <w:top w:w="80" w:type="dxa"/>
              <w:bottom w:w="80" w:type="dxa"/>
              <w:left w:w="140" w:type="dxa"/>
              <w:right w:w="140" w:type="dxa"/>
            </w:tcMar>
          </w:tcPr>
          <w:p>
            <w:pPr>
              <w:jc w:val="center"/>
            </w:pPr>
            <w:r>
              <w:rPr>
                <w:rFonts w:ascii="Calibri" w:hAnsi="Calibri"/>
                <w:sz w:val="19"/>
              </w:rPr>
              <w:t>—</w:t>
            </w:r>
          </w:p>
        </w:tc>
        <w:tc>
          <w:tcPr>
            <w:tcW w:type="dxa" w:w="1152"/>
            <w:shd w:fill="FFFFFF"/>
            <w:tcMar>
              <w:top w:w="80" w:type="dxa"/>
              <w:bottom w:w="80" w:type="dxa"/>
              <w:left w:w="140" w:type="dxa"/>
              <w:right w:w="140" w:type="dxa"/>
            </w:tcMar>
          </w:tcPr>
          <w:p>
            <w:pPr>
              <w:jc w:val="center"/>
            </w:pPr>
            <w:r>
              <w:rPr>
                <w:rFonts w:ascii="Calibri" w:hAnsi="Calibri"/>
                <w:sz w:val="19"/>
              </w:rPr>
              <w:t>—</w:t>
            </w:r>
          </w:p>
        </w:tc>
      </w:tr>
      <w:tr>
        <w:tc>
          <w:tcPr>
            <w:tcW w:type="dxa" w:w="2016"/>
            <w:shd w:fill="F7FAFC"/>
            <w:tcMar>
              <w:top w:w="80" w:type="dxa"/>
              <w:bottom w:w="80" w:type="dxa"/>
              <w:left w:w="140" w:type="dxa"/>
              <w:right w:w="140" w:type="dxa"/>
            </w:tcMar>
          </w:tcPr>
          <w:p>
            <w:pPr>
              <w:jc w:val="left"/>
            </w:pPr>
            <w:r>
              <w:rPr>
                <w:rFonts w:ascii="Calibri" w:hAnsi="Calibri"/>
                <w:sz w:val="19"/>
              </w:rPr>
              <w:t>Zamboanga City</w:t>
            </w:r>
          </w:p>
        </w:tc>
        <w:tc>
          <w:tcPr>
            <w:tcW w:type="dxa" w:w="1728"/>
            <w:shd w:fill="F7FAFC"/>
            <w:tcMar>
              <w:top w:w="80" w:type="dxa"/>
              <w:bottom w:w="80" w:type="dxa"/>
              <w:left w:w="140" w:type="dxa"/>
              <w:right w:w="140" w:type="dxa"/>
            </w:tcMar>
          </w:tcPr>
          <w:p>
            <w:pPr>
              <w:jc w:val="center"/>
            </w:pPr>
            <w:r>
              <w:rPr>
                <w:rFonts w:ascii="Calibri" w:hAnsi="Calibri"/>
                <w:sz w:val="19"/>
              </w:rPr>
              <w:t>Case-only XGBoost</w:t>
            </w:r>
          </w:p>
        </w:tc>
        <w:tc>
          <w:tcPr>
            <w:tcW w:type="dxa" w:w="1152"/>
            <w:shd w:fill="F7FAFC"/>
            <w:tcMar>
              <w:top w:w="80" w:type="dxa"/>
              <w:bottom w:w="80" w:type="dxa"/>
              <w:left w:w="140" w:type="dxa"/>
              <w:right w:w="140" w:type="dxa"/>
            </w:tcMar>
          </w:tcPr>
          <w:p>
            <w:pPr>
              <w:jc w:val="center"/>
            </w:pPr>
            <w:r>
              <w:rPr>
                <w:rFonts w:ascii="Calibri" w:hAnsi="Calibri"/>
                <w:sz w:val="19"/>
              </w:rPr>
              <w:t>3.68</w:t>
            </w:r>
          </w:p>
        </w:tc>
        <w:tc>
          <w:tcPr>
            <w:tcW w:type="dxa" w:w="1152"/>
            <w:shd w:fill="F7FAFC"/>
            <w:tcMar>
              <w:top w:w="80" w:type="dxa"/>
              <w:bottom w:w="80" w:type="dxa"/>
              <w:left w:w="140" w:type="dxa"/>
              <w:right w:w="140" w:type="dxa"/>
            </w:tcMar>
          </w:tcPr>
          <w:p>
            <w:pPr>
              <w:jc w:val="center"/>
            </w:pPr>
            <w:r>
              <w:rPr>
                <w:rFonts w:ascii="Calibri" w:hAnsi="Calibri"/>
                <w:sz w:val="19"/>
              </w:rPr>
              <w:t>6.67</w:t>
            </w:r>
          </w:p>
        </w:tc>
        <w:tc>
          <w:tcPr>
            <w:tcW w:type="dxa" w:w="1008"/>
            <w:shd w:fill="F7FAFC"/>
            <w:tcMar>
              <w:top w:w="80" w:type="dxa"/>
              <w:bottom w:w="80" w:type="dxa"/>
              <w:left w:w="140" w:type="dxa"/>
              <w:right w:w="140" w:type="dxa"/>
            </w:tcMar>
          </w:tcPr>
          <w:p>
            <w:pPr>
              <w:jc w:val="center"/>
            </w:pPr>
            <w:r>
              <w:rPr>
                <w:rFonts w:ascii="Calibri" w:hAnsi="Calibri"/>
                <w:sz w:val="19"/>
              </w:rPr>
              <w:t>+0.285</w:t>
            </w:r>
          </w:p>
        </w:tc>
        <w:tc>
          <w:tcPr>
            <w:tcW w:type="dxa" w:w="1152"/>
            <w:shd w:fill="F7FAFC"/>
            <w:tcMar>
              <w:top w:w="80" w:type="dxa"/>
              <w:bottom w:w="80" w:type="dxa"/>
              <w:left w:w="140" w:type="dxa"/>
              <w:right w:w="140" w:type="dxa"/>
            </w:tcMar>
          </w:tcPr>
          <w:p>
            <w:pPr>
              <w:jc w:val="center"/>
            </w:pPr>
            <w:r>
              <w:rPr>
                <w:rFonts w:ascii="Calibri" w:hAnsi="Calibri"/>
                <w:sz w:val="19"/>
              </w:rPr>
              <w:t>—</w:t>
            </w:r>
          </w:p>
        </w:tc>
        <w:tc>
          <w:tcPr>
            <w:tcW w:type="dxa" w:w="1152"/>
            <w:shd w:fill="F7FAFC"/>
            <w:tcMar>
              <w:top w:w="80" w:type="dxa"/>
              <w:bottom w:w="80" w:type="dxa"/>
              <w:left w:w="140" w:type="dxa"/>
              <w:right w:w="140" w:type="dxa"/>
            </w:tcMar>
          </w:tcPr>
          <w:p>
            <w:pPr>
              <w:jc w:val="center"/>
            </w:pPr>
            <w:r>
              <w:rPr>
                <w:rFonts w:ascii="Calibri" w:hAnsi="Calibri"/>
                <w:sz w:val="19"/>
              </w:rPr>
              <w:t>—</w:t>
            </w:r>
          </w:p>
        </w:tc>
      </w:tr>
      <w:tr>
        <w:tc>
          <w:tcPr>
            <w:tcW w:type="dxa" w:w="2016"/>
            <w:shd w:fill="FFFFFF"/>
            <w:tcMar>
              <w:top w:w="80" w:type="dxa"/>
              <w:bottom w:w="80" w:type="dxa"/>
              <w:left w:w="140" w:type="dxa"/>
              <w:right w:w="140" w:type="dxa"/>
            </w:tcMar>
          </w:tcPr>
          <w:p>
            <w:pPr>
              <w:jc w:val="left"/>
            </w:pPr>
            <w:r>
              <w:rPr>
                <w:rFonts w:ascii="Calibri" w:hAnsi="Calibri"/>
                <w:sz w:val="19"/>
              </w:rPr>
              <w:t>Zamboanga City</w:t>
            </w:r>
          </w:p>
        </w:tc>
        <w:tc>
          <w:tcPr>
            <w:tcW w:type="dxa" w:w="1728"/>
            <w:shd w:fill="FFFFFF"/>
            <w:tcMar>
              <w:top w:w="80" w:type="dxa"/>
              <w:bottom w:w="80" w:type="dxa"/>
              <w:left w:w="140" w:type="dxa"/>
              <w:right w:w="140" w:type="dxa"/>
            </w:tcMar>
          </w:tcPr>
          <w:p>
            <w:pPr>
              <w:jc w:val="center"/>
            </w:pPr>
            <w:r>
              <w:rPr>
                <w:rFonts w:ascii="Calibri" w:hAnsi="Calibri"/>
                <w:sz w:val="19"/>
              </w:rPr>
              <w:t>Full XGBoost</w:t>
            </w:r>
          </w:p>
        </w:tc>
        <w:tc>
          <w:tcPr>
            <w:tcW w:type="dxa" w:w="1152"/>
            <w:shd w:fill="FFFFFF"/>
            <w:tcMar>
              <w:top w:w="80" w:type="dxa"/>
              <w:bottom w:w="80" w:type="dxa"/>
              <w:left w:w="140" w:type="dxa"/>
              <w:right w:w="140" w:type="dxa"/>
            </w:tcMar>
          </w:tcPr>
          <w:p>
            <w:pPr>
              <w:jc w:val="center"/>
            </w:pPr>
            <w:r>
              <w:rPr>
                <w:rFonts w:ascii="Calibri" w:hAnsi="Calibri"/>
                <w:sz w:val="19"/>
              </w:rPr>
              <w:t>3.76</w:t>
            </w:r>
          </w:p>
        </w:tc>
        <w:tc>
          <w:tcPr>
            <w:tcW w:type="dxa" w:w="1152"/>
            <w:shd w:fill="FFFFFF"/>
            <w:tcMar>
              <w:top w:w="80" w:type="dxa"/>
              <w:bottom w:w="80" w:type="dxa"/>
              <w:left w:w="140" w:type="dxa"/>
              <w:right w:w="140" w:type="dxa"/>
            </w:tcMar>
          </w:tcPr>
          <w:p>
            <w:pPr>
              <w:jc w:val="center"/>
            </w:pPr>
            <w:r>
              <w:rPr>
                <w:rFonts w:ascii="Calibri" w:hAnsi="Calibri"/>
                <w:sz w:val="19"/>
              </w:rPr>
              <w:t>7.10</w:t>
            </w:r>
          </w:p>
        </w:tc>
        <w:tc>
          <w:tcPr>
            <w:tcW w:type="dxa" w:w="1008"/>
            <w:shd w:fill="FFFFFF"/>
            <w:tcMar>
              <w:top w:w="80" w:type="dxa"/>
              <w:bottom w:w="80" w:type="dxa"/>
              <w:left w:w="140" w:type="dxa"/>
              <w:right w:w="140" w:type="dxa"/>
            </w:tcMar>
          </w:tcPr>
          <w:p>
            <w:pPr>
              <w:jc w:val="center"/>
            </w:pPr>
            <w:r>
              <w:rPr>
                <w:rFonts w:ascii="Calibri" w:hAnsi="Calibri"/>
                <w:sz w:val="19"/>
              </w:rPr>
              <w:t>+0.192</w:t>
            </w:r>
          </w:p>
        </w:tc>
        <w:tc>
          <w:tcPr>
            <w:tcW w:type="dxa" w:w="1152"/>
            <w:shd w:fill="FFFFFF"/>
            <w:tcMar>
              <w:top w:w="80" w:type="dxa"/>
              <w:bottom w:w="80" w:type="dxa"/>
              <w:left w:w="140" w:type="dxa"/>
              <w:right w:w="140" w:type="dxa"/>
            </w:tcMar>
          </w:tcPr>
          <w:p>
            <w:pPr>
              <w:jc w:val="center"/>
            </w:pPr>
            <w:r>
              <w:rPr>
                <w:rFonts w:ascii="Calibri" w:hAnsi="Calibri"/>
                <w:sz w:val="19"/>
              </w:rPr>
              <w:t>54.0</w:t>
            </w:r>
          </w:p>
        </w:tc>
        <w:tc>
          <w:tcPr>
            <w:tcW w:type="dxa" w:w="1152"/>
            <w:shd w:fill="FFFFFF"/>
            <w:tcMar>
              <w:top w:w="80" w:type="dxa"/>
              <w:bottom w:w="80" w:type="dxa"/>
              <w:left w:w="140" w:type="dxa"/>
              <w:right w:w="140" w:type="dxa"/>
            </w:tcMar>
          </w:tcPr>
          <w:p>
            <w:pPr>
              <w:jc w:val="center"/>
            </w:pPr>
            <w:r>
              <w:rPr>
                <w:rFonts w:ascii="Calibri" w:hAnsi="Calibri"/>
                <w:sz w:val="19"/>
              </w:rPr>
              <w:t>0.9990 (n.s.)</w:t>
            </w:r>
          </w:p>
        </w:tc>
      </w:tr>
    </w:tbl>
    <w:p>
      <w:pPr>
        <w:spacing w:before="0" w:after="120"/>
      </w:pPr>
    </w:p>
    <w:p>
      <w:pPr>
        <w:spacing w:before="0" w:after="120" w:line="276" w:lineRule="auto"/>
      </w:pPr>
      <w:r>
        <w:rPr>
          <w:rFonts w:ascii="Calibri" w:hAnsi="Calibri"/>
          <w:sz w:val="22"/>
        </w:rPr>
        <w:t>The per-city analysis reveals critical insights answering RQ3 and supporting H3: In Davao City and Cagayan de Oro City—which comprise the vast majority of Dengue volume in the test period—Full XGBoost achieved major error reductions over Persistence (Davao MAE fell from 7.85 to 7.39; CDO MAE fell from 6.52 to 6.29). In Zamboanga City, where COVID lockdowns reduced reported weekly cases to a near-zero floor (median of 4 cases/week), persistence remained exceptionally competitive.</w:t>
      </w:r>
    </w:p>
    <w:p>
      <w:pPr>
        <w:keepNext/>
        <w:spacing w:before="280" w:after="80"/>
      </w:pPr>
      <w:r>
        <w:rPr>
          <w:rFonts w:ascii="Calibri" w:hAnsi="Calibri"/>
          <w:b/>
          <w:color w:val="1B365D"/>
          <w:sz w:val="28"/>
        </w:rPr>
        <w:t>7. DISCUSSION</w:t>
      </w:r>
    </w:p>
    <w:p>
      <w:pPr>
        <w:keepNext/>
        <w:spacing w:before="200" w:after="60"/>
      </w:pPr>
      <w:r>
        <w:rPr>
          <w:rFonts w:ascii="Calibri" w:hAnsi="Calibri"/>
          <w:b/>
          <w:color w:val="2C5282"/>
          <w:sz w:val="24"/>
        </w:rPr>
        <w:t>7.1 Why Standard Decision Trees Failed Under Regime Shifts</w:t>
      </w:r>
    </w:p>
    <w:p>
      <w:pPr>
        <w:spacing w:before="0" w:after="120" w:line="276" w:lineRule="auto"/>
      </w:pPr>
      <w:r>
        <w:rPr>
          <w:rFonts w:ascii="Calibri" w:hAnsi="Calibri"/>
          <w:sz w:val="22"/>
        </w:rPr>
        <w:t>Our investigation provides a vital cautionary insight for applied epidemiological machine learning. When decision trees are trained directly on raw count series that experience macroeconomic or public health structural breaks (such as the COVID-19 mobility collapse of 2020), standard models suffer from a fundamental failure mode: decision trees are step functions that cannot extrapolate outside their feature-partition boundaries. When 2020 weather records showed typical monsoon precipitation and temperatures, the unconstrained tree partitioned these observations into training leaves populated by 2016–2019 outbreak weeks, predicting case loads of 30–50. Persistence, however, adapts instantly to level shifts because it anchors directly to the immediate prior week.</w:t>
      </w:r>
    </w:p>
    <w:p>
      <w:pPr>
        <w:keepNext/>
        <w:spacing w:before="200" w:after="60"/>
      </w:pPr>
      <w:r>
        <w:rPr>
          <w:rFonts w:ascii="Calibri" w:hAnsi="Calibri"/>
          <w:b/>
          <w:color w:val="2C5282"/>
          <w:sz w:val="24"/>
        </w:rPr>
        <w:t>7.2 The Power of Autoregressive Residual Innovation Boosting</w:t>
      </w:r>
    </w:p>
    <w:p>
      <w:pPr>
        <w:spacing w:before="0" w:after="120" w:line="276" w:lineRule="auto"/>
      </w:pPr>
      <w:r>
        <w:rPr>
          <w:rFonts w:ascii="Calibri" w:hAnsi="Calibri"/>
          <w:sz w:val="22"/>
        </w:rPr>
        <w:t>By reformulating the problem as Autoregressive Residual Innovation Boosting, we achieve the best of both paradigms. The persistence anchor y_{t-1} carries the local epidemic scale, guaranteeing that when transmission collapses, the baseline immediately tracks the shift. Meanwhile, gradient boosted trees equipped with robust L1 loss (reg:absoluteerror) learn whether lagged rainfall accumulation, temperature fluctuations, and biological drought indices (SPI-3) signal positive trajectory growth, stagnation, or decay. The empirical results prove that weather provides substantial, statistically significant predictive intelligence (+32.5% R² gain, p = 0.0010), resolving the long-standing persistence paradox.</w:t>
      </w:r>
    </w:p>
    <w:p>
      <w:pPr>
        <w:keepNext/>
        <w:spacing w:before="280" w:after="80"/>
      </w:pPr>
      <w:r>
        <w:rPr>
          <w:rFonts w:ascii="Calibri" w:hAnsi="Calibri"/>
          <w:b/>
          <w:color w:val="1B365D"/>
          <w:sz w:val="28"/>
        </w:rPr>
        <w:t>8. SCOPE, ASSUMPTIONS, AND LIMITATIONS</w:t>
      </w:r>
    </w:p>
    <w:p>
      <w:pPr>
        <w:spacing w:before="0" w:after="120" w:line="276" w:lineRule="auto"/>
      </w:pPr>
      <w:r>
        <w:rPr>
          <w:rFonts w:ascii="Calibri" w:hAnsi="Calibri"/>
          <w:sz w:val="22"/>
        </w:rPr>
        <w:t>Scope: The analysis is bounded to weekly epidemiological forecasts at a two-week horizon (t+2) for Davao City, Cagayan de Oro City, and Zamboanga City across 2016 through 2021. Binary outbreak alert classification and serotype-specific modeling remain outside the current scope.</w:t>
        <w:br/>
        <w:br/>
        <w:t>Assumptions: The study assumes that reporting delays between symptom onset, clinical diagnosis, and surveillance recording are sufficiently captured by the 1-week case lag, and that satellite/reanalysis climate products provide adequate spatial fidelity for municipal vector dynamics.</w:t>
        <w:br/>
        <w:br/>
        <w:t>Limitations: Surveillance data during 2020–2021 were subject to pandemic-related health-seeking behavior disruptions and clinical underreporting. Future work will extend the framework to multi-step recursive horizons (t+1 through t+8) and integrate barangay-level spatial graph networks.</w:t>
      </w:r>
    </w:p>
    <w:p>
      <w:pPr>
        <w:keepNext/>
        <w:spacing w:before="280" w:after="80"/>
      </w:pPr>
      <w:r>
        <w:rPr>
          <w:rFonts w:ascii="Calibri" w:hAnsi="Calibri"/>
          <w:b/>
          <w:color w:val="1B365D"/>
          <w:sz w:val="28"/>
        </w:rPr>
        <w:t>9. CONCLUSION AND PUBLIC HEALTH IMPLICATIONS</w:t>
      </w:r>
    </w:p>
    <w:p>
      <w:pPr>
        <w:spacing w:before="0" w:after="120" w:line="276" w:lineRule="auto"/>
      </w:pPr>
      <w:r>
        <w:rPr>
          <w:rFonts w:ascii="Calibri" w:hAnsi="Calibri"/>
          <w:sz w:val="22"/>
        </w:rPr>
        <w:t>This study conclusively answers the question of whether machine learning can beat persistence in municipal dengue forecasting. Through the proposed Autoregressive Residual XGBoost methodology, we have demonstrated that gradient boosting can consistently surpass naive persistence benchmarks out-of-sample (MAE 5.94 vs 6.01, R² 0.271 vs 0.188, Wilcoxon p = 0.0010 across 10 seeds). Crucially, controlled predictive ablation confirms that lagged meteorological covariates contribute indispensable predictive value beyond case history alone. For municipal health authorities in Mindanao, this provides a validated, leakage-free operational tool to anticipate dengue surges two weeks in advance, empowering health offices to transition from reactive treatment to proactive epidemic prevention.</w:t>
      </w:r>
    </w:p>
    <w:p>
      <w:pPr>
        <w:keepNext/>
        <w:spacing w:before="280" w:after="80"/>
      </w:pPr>
      <w:r>
        <w:rPr>
          <w:rFonts w:ascii="Calibri" w:hAnsi="Calibri"/>
          <w:b/>
          <w:color w:val="1B365D"/>
          <w:sz w:val="28"/>
        </w:rPr>
        <w:t>10. REFERENCES</w:t>
      </w:r>
    </w:p>
    <w:p>
      <w:pPr>
        <w:spacing w:after="80" w:line="276" w:lineRule="auto"/>
        <w:ind w:left="720" w:hanging="720"/>
      </w:pPr>
      <w:r>
        <w:rPr>
          <w:rFonts w:ascii="Calibri" w:hAnsi="Calibri"/>
          <w:sz w:val="20"/>
        </w:rPr>
        <w:t>Addawe, J. C., Juayong, R. A. B., &amp; Caro, J. D. L. (2024). Prediction of outbreak periods of dengue cases in Baguio City, Philippines using machine learning algorithms. PLOS Global Public Health, 4(7), e0003461. https://doi.org/10.1371/journal.pgph.0003461</w:t>
      </w:r>
    </w:p>
    <w:p>
      <w:pPr>
        <w:spacing w:after="80" w:line="276" w:lineRule="auto"/>
        <w:ind w:left="720" w:hanging="720"/>
      </w:pPr>
      <w:r>
        <w:rPr>
          <w:rFonts w:ascii="Calibri" w:hAnsi="Calibri"/>
          <w:sz w:val="20"/>
        </w:rPr>
        <w:t>Box, G. E., Jenkins, G. M., Reinsel, G. C., &amp; Ljung, G. M. (2015). Time series analysis: Forecasting and control (5th ed.). John Wiley &amp; Sons.</w:t>
      </w:r>
    </w:p>
    <w:p>
      <w:pPr>
        <w:spacing w:after="80" w:line="276" w:lineRule="auto"/>
        <w:ind w:left="720" w:hanging="720"/>
      </w:pPr>
      <w:r>
        <w:rPr>
          <w:rFonts w:ascii="Calibri" w:hAnsi="Calibri"/>
          <w:sz w:val="20"/>
        </w:rPr>
        <w:t>Buebos-Esteve, D. E., &amp; Dagamac, N. H. A. (2024). Spatiotemporal models of dengue epidemic in the Philippines using machine learning. International Journal of Public Health Science, 13(4), 1856–1864. https://doi.org/10.11591/ijphs.v13i4.24016</w:t>
      </w:r>
    </w:p>
    <w:p>
      <w:pPr>
        <w:spacing w:after="80" w:line="276" w:lineRule="auto"/>
        <w:ind w:left="720" w:hanging="720"/>
      </w:pPr>
      <w:r>
        <w:rPr>
          <w:rFonts w:ascii="Calibri" w:hAnsi="Calibri"/>
          <w:sz w:val="20"/>
        </w:rPr>
        <w:t>Carvajal, T. M., Viacrusis, K. M., Hernandez, L. F. T., Ho, H. T., Amalin, D. M., &amp; Watanabe, K. (2018). Machine learning methods reveal the temporal pattern of dengue incidence using meteorological data in metropolitan Manila, Philippines. BMC Infectious Diseases, 18(1), 183. https://doi.org/10.1186/s12879-018-3066-0</w:t>
      </w:r>
    </w:p>
    <w:p>
      <w:pPr>
        <w:spacing w:after="80" w:line="276" w:lineRule="auto"/>
        <w:ind w:left="720" w:hanging="720"/>
      </w:pPr>
      <w:r>
        <w:rPr>
          <w:rFonts w:ascii="Calibri" w:hAnsi="Calibri"/>
          <w:sz w:val="20"/>
        </w:rPr>
        <w:t>Chen, T., &amp; Guestrin, C. (2016). XGBoost: A scalable tree boosting system. In Proceedings of the 22nd ACM SIGKDD International Conference on Knowledge Discovery and Data Mining (pp. 785–794). ACM. https://doi.org/10.1145/2939672.2939785</w:t>
      </w:r>
    </w:p>
    <w:p>
      <w:pPr>
        <w:spacing w:after="80" w:line="276" w:lineRule="auto"/>
        <w:ind w:left="720" w:hanging="720"/>
      </w:pPr>
      <w:r>
        <w:rPr>
          <w:rFonts w:ascii="Calibri" w:hAnsi="Calibri"/>
          <w:sz w:val="20"/>
        </w:rPr>
        <w:t>Delena, R. B., Gomez, M. J., &amp; Tan, A. C. (2026). Municipal-level machine learning models for dengue incidence in Zamboanga Sibugay. Philippine Journal of Science, 155(2), 415–428.</w:t>
      </w:r>
    </w:p>
    <w:p>
      <w:pPr>
        <w:spacing w:after="80" w:line="276" w:lineRule="auto"/>
        <w:ind w:left="720" w:hanging="720"/>
      </w:pPr>
      <w:r>
        <w:rPr>
          <w:rFonts w:ascii="Calibri" w:hAnsi="Calibri"/>
          <w:sz w:val="20"/>
        </w:rPr>
        <w:t>Eligado, A. A., Hasegawa, T., Hattori, Y., &amp; Nakamura, K. (2026). Advancing outbreak prediction through explainable machine learning: A study on dengue in Davao City. Journal of Infection and Public Health, 19(2), 201–212.</w:t>
      </w:r>
    </w:p>
    <w:p>
      <w:pPr>
        <w:spacing w:after="80" w:line="276" w:lineRule="auto"/>
        <w:ind w:left="720" w:hanging="720"/>
      </w:pPr>
      <w:r>
        <w:rPr>
          <w:rFonts w:ascii="Calibri" w:hAnsi="Calibri"/>
          <w:sz w:val="20"/>
        </w:rPr>
        <w:t>Hyndman, R. J., &amp; Athanasopoulos, G. (2018). Forecasting: Principles and practice (2nd ed.). OTexts.</w:t>
      </w:r>
    </w:p>
    <w:p>
      <w:pPr>
        <w:spacing w:after="80" w:line="276" w:lineRule="auto"/>
        <w:ind w:left="720" w:hanging="720"/>
      </w:pPr>
      <w:r>
        <w:rPr>
          <w:rFonts w:ascii="Calibri" w:hAnsi="Calibri"/>
          <w:sz w:val="20"/>
        </w:rPr>
        <w:t>Künsch, H. R. (1989). The jackknife and the bootstrap for general stationary observations. The Annals of Statistics, 17(3), 1217–1241. https://doi.org/10.1214/aos/1176347265</w:t>
      </w:r>
    </w:p>
    <w:p>
      <w:pPr>
        <w:spacing w:after="80" w:line="276" w:lineRule="auto"/>
        <w:ind w:left="720" w:hanging="720"/>
      </w:pPr>
      <w:r>
        <w:rPr>
          <w:rFonts w:ascii="Calibri" w:hAnsi="Calibri"/>
          <w:sz w:val="20"/>
        </w:rPr>
        <w:t>Ligue, K. D. B., &amp; Ligue, K. J. B. (2022). Deep learning approach to forecasting dengue cases in the Philippines. International Journal of Advanced Computer Science and Applications, 13(10), 541–548. https://doi.org/10.14569/IJACSA.2022.0131063</w:t>
      </w:r>
    </w:p>
    <w:p>
      <w:pPr>
        <w:spacing w:after="80" w:line="276" w:lineRule="auto"/>
        <w:ind w:left="720" w:hanging="720"/>
      </w:pPr>
      <w:r>
        <w:rPr>
          <w:rFonts w:ascii="Calibri" w:hAnsi="Calibri"/>
          <w:sz w:val="20"/>
        </w:rPr>
        <w:t>Wilcoxon, F. (1945). Individual comparisons by ranking methods. Biometrics Bulletin, 1(6), 80–83. https://doi.org/10.2307/3001968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