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Experiment 1 — Current System</w:t>
      </w:r>
    </w:p>
    <w:p>
      <w:pPr>
        <w:pStyle w:val="Heading2"/>
        <w:bidi w:val="0"/>
        <w:jc w:val="start"/>
        <w:rPr/>
      </w:pPr>
      <w:r>
        <w:rPr/>
        <w:t>1. What was the objective?</w:t>
      </w:r>
    </w:p>
    <w:p>
      <w:pPr>
        <w:pStyle w:val="BodyText"/>
        <w:bidi w:val="0"/>
        <w:jc w:val="start"/>
        <w:rPr/>
      </w:pPr>
      <w:r>
        <w:rPr/>
        <w:t xml:space="preserve">The objective was to determine whether different types of models could predict </w:t>
      </w:r>
      <w:r>
        <w:rPr>
          <w:rStyle w:val="Strong"/>
        </w:rPr>
        <w:t>5-day future stock returns</w:t>
      </w:r>
      <w:r>
        <w:rPr/>
        <w:t xml:space="preserve"> for a universe of </w:t>
      </w:r>
      <w:r>
        <w:rPr>
          <w:rStyle w:val="Strong"/>
        </w:rPr>
        <w:t>49 NSE stocks</w:t>
      </w:r>
      <w:r>
        <w:rPr/>
        <w:t>, and whether combining their predictions into an ensemble would produce a better portfolio.</w:t>
      </w:r>
    </w:p>
    <w:p>
      <w:pPr>
        <w:pStyle w:val="BodyText"/>
        <w:bidi w:val="0"/>
        <w:jc w:val="start"/>
        <w:rPr/>
      </w:pPr>
      <w:r>
        <w:rPr/>
        <w:t>The basic idea was:</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PreformattedText"/>
        <w:bidi w:val="0"/>
        <w:ind w:hanging="0" w:start="0" w:end="0"/>
        <w:jc w:val="start"/>
        <w:rPr/>
      </w:pPr>
      <w:r>
        <w:rPr>
          <w:rStyle w:val="SourceText"/>
        </w:rPr>
        <w:t>Historical NSE data</w:t>
      </w:r>
    </w:p>
    <w:p>
      <w:pPr>
        <w:pStyle w:val="PreformattedText"/>
        <w:bidi w:val="0"/>
        <w:jc w:val="start"/>
        <w:rPr/>
      </w:pPr>
      <w:r>
        <w:rPr>
          <w:rStyle w:val="SourceText"/>
        </w:rPr>
        <w:t xml:space="preserve">       ↓</w:t>
      </w:r>
    </w:p>
    <w:p>
      <w:pPr>
        <w:pStyle w:val="PreformattedText"/>
        <w:bidi w:val="0"/>
        <w:jc w:val="start"/>
        <w:rPr/>
      </w:pPr>
      <w:r>
        <w:rPr>
          <w:rStyle w:val="SourceText"/>
        </w:rPr>
        <w:t>Technical / price / volume features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LightGBM│ Factors │ Momentum│   TCN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w:t>
      </w:r>
    </w:p>
    <w:p>
      <w:pPr>
        <w:pStyle w:val="PreformattedText"/>
        <w:bidi w:val="0"/>
        <w:jc w:val="start"/>
        <w:rPr/>
      </w:pPr>
      <w:r>
        <w:rPr>
          <w:rStyle w:val="SourceText"/>
        </w:rPr>
        <w:t xml:space="preserve">                    </w:t>
      </w:r>
      <w:r>
        <w:rPr>
          <w:rStyle w:val="SourceText"/>
        </w:rPr>
        <w:t>GNN</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Model scores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Cross-sectional ranking</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Select Top K stocks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Hold for 5 days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Portfolio</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Return / Sharpe / etc.</w:t>
      </w:r>
    </w:p>
    <w:p>
      <w:pPr>
        <w:sectPr>
          <w:type w:val="continuous"/>
          <w:pgSz w:w="11906" w:h="16838"/>
          <w:pgMar w:left="1134" w:right="1134" w:gutter="0" w:header="0" w:top="1134" w:footer="0" w:bottom="1134"/>
          <w:formProt w:val="false"/>
          <w:textDirection w:val="lrTb"/>
          <w:docGrid w:type="default" w:linePitch="100" w:charSpace="0"/>
        </w:sectPr>
      </w:pPr>
    </w:p>
    <w:p>
      <w:pPr>
        <w:pStyle w:val="HorizontalLine"/>
        <w:bidi w:val="0"/>
        <w:jc w:val="start"/>
        <w:rPr/>
      </w:pPr>
      <w:r>
        <w:rPr/>
      </w:r>
    </w:p>
    <w:p>
      <w:pPr>
        <w:pStyle w:val="Heading1"/>
        <w:bidi w:val="0"/>
        <w:jc w:val="start"/>
        <w:rPr/>
      </w:pPr>
      <w:r>
        <w:rPr/>
        <w:t>2. Dataset</w:t>
      </w:r>
    </w:p>
    <w:p>
      <w:pPr>
        <w:pStyle w:val="BodyText"/>
        <w:bidi w:val="0"/>
        <w:jc w:val="start"/>
        <w:rPr/>
      </w:pPr>
      <w:r>
        <w:rPr/>
        <w:t>Your feature dataset contains:</w:t>
      </w:r>
    </w:p>
    <w:p>
      <w:pPr>
        <w:pStyle w:val="BodyText"/>
        <w:bidi w:val="0"/>
        <w:jc w:val="start"/>
        <w:rPr/>
      </w:pPr>
      <w:r>
        <w:rPr>
          <w:rStyle w:val="Strong"/>
        </w:rPr>
        <w:t>189,825 rows</w:t>
      </w:r>
    </w:p>
    <w:p>
      <w:pPr>
        <w:pStyle w:val="BodyText"/>
        <w:bidi w:val="0"/>
        <w:jc w:val="start"/>
        <w:rPr/>
      </w:pPr>
      <w:r>
        <w:rPr>
          <w:rStyle w:val="Strong"/>
        </w:rPr>
        <w:t>49 symbols</w:t>
      </w:r>
    </w:p>
    <w:p>
      <w:pPr>
        <w:pStyle w:val="BodyText"/>
        <w:bidi w:val="0"/>
        <w:jc w:val="start"/>
        <w:rPr/>
      </w:pPr>
      <w:r>
        <w:rPr/>
        <w:t>Date range:</w:t>
      </w:r>
    </w:p>
    <w:p>
      <w:pPr>
        <w:pStyle w:val="BlockQuotationuser"/>
        <w:bidi w:val="0"/>
        <w:jc w:val="start"/>
        <w:rPr/>
      </w:pPr>
      <w:r>
        <w:rPr>
          <w:rStyle w:val="Strong"/>
        </w:rPr>
        <w:t>18 October 2010 → 18 August 2026</w:t>
      </w:r>
    </w:p>
    <w:p>
      <w:pPr>
        <w:pStyle w:val="BodyText"/>
        <w:bidi w:val="0"/>
        <w:jc w:val="start"/>
        <w:rPr/>
      </w:pPr>
      <w:r>
        <w:rPr/>
        <w:t>So this is approximately 16 years of historical NSE data.</w:t>
      </w:r>
    </w:p>
    <w:p>
      <w:pPr>
        <w:pStyle w:val="BodyText"/>
        <w:bidi w:val="0"/>
        <w:jc w:val="start"/>
        <w:rPr/>
      </w:pPr>
      <w:r>
        <w:rPr/>
        <w:t xml:space="preserve">The data contains </w:t>
      </w:r>
      <w:r>
        <w:rPr>
          <w:rStyle w:val="Strong"/>
        </w:rPr>
        <w:t>35 columns</w:t>
      </w:r>
      <w:r>
        <w:rPr/>
        <w:t>.</w:t>
      </w:r>
    </w:p>
    <w:p>
      <w:pPr>
        <w:pStyle w:val="BodyText"/>
        <w:bidi w:val="0"/>
        <w:jc w:val="start"/>
        <w:rPr/>
      </w:pPr>
      <w:r>
        <w:rPr/>
        <w:t>The basic market variables include:</w:t>
      </w:r>
    </w:p>
    <w:p>
      <w:pPr>
        <w:pStyle w:val="BodyText"/>
        <w:numPr>
          <w:ilvl w:val="0"/>
          <w:numId w:val="1"/>
        </w:numPr>
        <w:tabs>
          <w:tab w:val="left" w:pos="709" w:leader="none"/>
        </w:tabs>
        <w:bidi w:val="0"/>
        <w:spacing w:before="0" w:after="0"/>
        <w:ind w:hanging="283" w:start="709"/>
        <w:jc w:val="start"/>
        <w:rPr/>
      </w:pPr>
      <w:r>
        <w:rPr/>
        <w:t xml:space="preserve">open </w:t>
      </w:r>
    </w:p>
    <w:p>
      <w:pPr>
        <w:pStyle w:val="BodyText"/>
        <w:numPr>
          <w:ilvl w:val="0"/>
          <w:numId w:val="1"/>
        </w:numPr>
        <w:tabs>
          <w:tab w:val="left" w:pos="709" w:leader="none"/>
        </w:tabs>
        <w:bidi w:val="0"/>
        <w:spacing w:before="0" w:after="0"/>
        <w:ind w:hanging="283" w:start="709"/>
        <w:jc w:val="start"/>
        <w:rPr/>
      </w:pPr>
      <w:r>
        <w:rPr/>
        <w:t xml:space="preserve">high </w:t>
      </w:r>
    </w:p>
    <w:p>
      <w:pPr>
        <w:pStyle w:val="BodyText"/>
        <w:numPr>
          <w:ilvl w:val="0"/>
          <w:numId w:val="1"/>
        </w:numPr>
        <w:tabs>
          <w:tab w:val="left" w:pos="709" w:leader="none"/>
        </w:tabs>
        <w:bidi w:val="0"/>
        <w:spacing w:before="0" w:after="0"/>
        <w:ind w:hanging="283" w:start="709"/>
        <w:jc w:val="start"/>
        <w:rPr/>
      </w:pPr>
      <w:r>
        <w:rPr/>
        <w:t xml:space="preserve">low </w:t>
      </w:r>
    </w:p>
    <w:p>
      <w:pPr>
        <w:pStyle w:val="BodyText"/>
        <w:numPr>
          <w:ilvl w:val="0"/>
          <w:numId w:val="1"/>
        </w:numPr>
        <w:tabs>
          <w:tab w:val="left" w:pos="709" w:leader="none"/>
        </w:tabs>
        <w:bidi w:val="0"/>
        <w:spacing w:before="0" w:after="0"/>
        <w:ind w:hanging="283" w:start="709"/>
        <w:jc w:val="start"/>
        <w:rPr/>
      </w:pPr>
      <w:r>
        <w:rPr/>
        <w:t xml:space="preserve">close </w:t>
      </w:r>
    </w:p>
    <w:p>
      <w:pPr>
        <w:pStyle w:val="BodyText"/>
        <w:numPr>
          <w:ilvl w:val="0"/>
          <w:numId w:val="1"/>
        </w:numPr>
        <w:tabs>
          <w:tab w:val="left" w:pos="709" w:leader="none"/>
        </w:tabs>
        <w:bidi w:val="0"/>
        <w:spacing w:before="0" w:after="0"/>
        <w:ind w:hanging="283" w:start="709"/>
        <w:jc w:val="start"/>
        <w:rPr/>
      </w:pPr>
      <w:r>
        <w:rPr/>
        <w:t xml:space="preserve">volume </w:t>
      </w:r>
    </w:p>
    <w:p>
      <w:pPr>
        <w:pStyle w:val="BodyText"/>
        <w:numPr>
          <w:ilvl w:val="0"/>
          <w:numId w:val="1"/>
        </w:numPr>
        <w:tabs>
          <w:tab w:val="left" w:pos="709" w:leader="none"/>
        </w:tabs>
        <w:bidi w:val="0"/>
        <w:ind w:hanging="283" w:start="709"/>
        <w:jc w:val="start"/>
        <w:rPr/>
      </w:pPr>
      <w:r>
        <w:rPr/>
        <w:t xml:space="preserve">adjusted close </w:t>
      </w:r>
    </w:p>
    <w:p>
      <w:pPr>
        <w:pStyle w:val="BodyText"/>
        <w:bidi w:val="0"/>
        <w:jc w:val="start"/>
        <w:rPr/>
      </w:pPr>
      <w:r>
        <w:rPr/>
        <w:t>and derived technical features.</w:t>
      </w:r>
    </w:p>
    <w:p>
      <w:pPr>
        <w:pStyle w:val="HorizontalLine"/>
        <w:bidi w:val="0"/>
        <w:jc w:val="start"/>
        <w:rPr/>
      </w:pPr>
      <w:r>
        <w:rPr/>
      </w:r>
    </w:p>
    <w:p>
      <w:pPr>
        <w:pStyle w:val="Heading1"/>
        <w:bidi w:val="0"/>
        <w:jc w:val="start"/>
        <w:rPr/>
      </w:pPr>
      <w:r>
        <w:rPr/>
        <w:t>3. What features did we use?</w:t>
      </w:r>
    </w:p>
    <w:p>
      <w:pPr>
        <w:pStyle w:val="BodyText"/>
        <w:bidi w:val="0"/>
        <w:jc w:val="start"/>
        <w:rPr/>
      </w:pPr>
      <w:r>
        <w:rPr/>
        <w:t xml:space="preserve">Your </w:t>
      </w:r>
      <w:r>
        <w:rPr>
          <w:rStyle w:val="SourceText"/>
        </w:rPr>
        <w:t>build_features.py</w:t>
      </w:r>
      <w:r>
        <w:rPr/>
        <w:t xml:space="preserve"> generates historical/technical features.</w:t>
      </w:r>
    </w:p>
    <w:p>
      <w:pPr>
        <w:pStyle w:val="Heading3"/>
        <w:bidi w:val="0"/>
        <w:jc w:val="start"/>
        <w:rPr/>
      </w:pPr>
      <w:r>
        <w:rPr/>
        <w:t>Returns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0" w:name="code-block-viewer"/>
      <w:bookmarkEnd w:id="0"/>
      <w:r>
        <w:rPr>
          <w:rStyle w:val="SourceText"/>
        </w:rPr>
        <w:t>return_1d</w:t>
      </w:r>
    </w:p>
    <w:p>
      <w:pPr>
        <w:pStyle w:val="PreformattedText"/>
        <w:bidi w:val="0"/>
        <w:jc w:val="start"/>
        <w:rPr/>
      </w:pPr>
      <w:r>
        <w:rPr>
          <w:rStyle w:val="SourceText"/>
        </w:rPr>
        <w:t>return_5d</w:t>
      </w:r>
    </w:p>
    <w:p>
      <w:pPr>
        <w:pStyle w:val="PreformattedText"/>
        <w:bidi w:val="0"/>
        <w:jc w:val="start"/>
        <w:rPr/>
      </w:pPr>
      <w:r>
        <w:rPr>
          <w:rStyle w:val="SourceText"/>
        </w:rPr>
        <w:t>return_20d</w:t>
      </w:r>
    </w:p>
    <w:p>
      <w:pPr>
        <w:pStyle w:val="PreformattedText"/>
        <w:bidi w:val="0"/>
        <w:spacing w:before="0" w:after="283"/>
        <w:jc w:val="start"/>
        <w:rPr/>
      </w:pPr>
      <w:r>
        <w:rPr>
          <w:rStyle w:val="SourceText"/>
        </w:rPr>
        <w:t>return_60d</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jc w:val="start"/>
        <w:rPr/>
      </w:pPr>
      <w:r>
        <w:rPr/>
        <w:t>Moving averages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1" w:name="code-block-viewer_Copy_1"/>
      <w:bookmarkEnd w:id="1"/>
      <w:r>
        <w:rPr>
          <w:rStyle w:val="SourceText"/>
        </w:rPr>
        <w:t>sma_5</w:t>
      </w:r>
    </w:p>
    <w:p>
      <w:pPr>
        <w:pStyle w:val="PreformattedText"/>
        <w:bidi w:val="0"/>
        <w:jc w:val="start"/>
        <w:rPr/>
      </w:pPr>
      <w:r>
        <w:rPr>
          <w:rStyle w:val="SourceText"/>
        </w:rPr>
        <w:t>sma_20</w:t>
      </w:r>
    </w:p>
    <w:p>
      <w:pPr>
        <w:pStyle w:val="PreformattedText"/>
        <w:bidi w:val="0"/>
        <w:jc w:val="start"/>
        <w:rPr/>
      </w:pPr>
      <w:r>
        <w:rPr>
          <w:rStyle w:val="SourceText"/>
        </w:rPr>
        <w:t>sma_50</w:t>
      </w:r>
    </w:p>
    <w:p>
      <w:pPr>
        <w:pStyle w:val="PreformattedText"/>
        <w:bidi w:val="0"/>
        <w:spacing w:before="0" w:after="283"/>
        <w:jc w:val="start"/>
        <w:rPr/>
      </w:pPr>
      <w:r>
        <w:rPr>
          <w:rStyle w:val="SourceText"/>
        </w:rPr>
        <w:t>sma_200</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jc w:val="start"/>
        <w:rPr/>
      </w:pPr>
      <w:r>
        <w:rPr/>
        <w:t>Price relative to moving averages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2" w:name="code-block-viewer_Copy_2"/>
      <w:bookmarkEnd w:id="2"/>
      <w:r>
        <w:rPr>
          <w:rStyle w:val="SourceText"/>
        </w:rPr>
        <w:t>close_sma5_ratio</w:t>
      </w:r>
    </w:p>
    <w:p>
      <w:pPr>
        <w:pStyle w:val="PreformattedText"/>
        <w:bidi w:val="0"/>
        <w:jc w:val="start"/>
        <w:rPr/>
      </w:pPr>
      <w:r>
        <w:rPr>
          <w:rStyle w:val="SourceText"/>
        </w:rPr>
        <w:t>close_sma20_ratio</w:t>
      </w:r>
    </w:p>
    <w:p>
      <w:pPr>
        <w:pStyle w:val="PreformattedText"/>
        <w:bidi w:val="0"/>
        <w:jc w:val="start"/>
        <w:rPr/>
      </w:pPr>
      <w:r>
        <w:rPr>
          <w:rStyle w:val="SourceText"/>
        </w:rPr>
        <w:t>close_sma50_ratio</w:t>
      </w:r>
    </w:p>
    <w:p>
      <w:pPr>
        <w:pStyle w:val="PreformattedText"/>
        <w:bidi w:val="0"/>
        <w:spacing w:before="0" w:after="283"/>
        <w:jc w:val="start"/>
        <w:rPr/>
      </w:pPr>
      <w:r>
        <w:rPr>
          <w:rStyle w:val="SourceText"/>
        </w:rPr>
        <w:t>close_sma200_ratio</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jc w:val="start"/>
        <w:rPr/>
      </w:pPr>
      <w:r>
        <w:rPr/>
        <w:t>Exponential moving averages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3" w:name="code-block-viewer_Copy_3"/>
      <w:bookmarkEnd w:id="3"/>
      <w:r>
        <w:rPr>
          <w:rStyle w:val="SourceText"/>
        </w:rPr>
        <w:t>ema_12</w:t>
      </w:r>
    </w:p>
    <w:p>
      <w:pPr>
        <w:pStyle w:val="PreformattedText"/>
        <w:bidi w:val="0"/>
        <w:spacing w:before="0" w:after="283"/>
        <w:jc w:val="start"/>
        <w:rPr/>
      </w:pPr>
      <w:r>
        <w:rPr>
          <w:rStyle w:val="SourceText"/>
        </w:rPr>
        <w:t>ema_26</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jc w:val="start"/>
        <w:rPr/>
      </w:pPr>
      <w:r>
        <w:rPr/>
        <w:t>MACD</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4" w:name="code-block-viewer_Copy_4"/>
      <w:bookmarkEnd w:id="4"/>
      <w:r>
        <w:rPr>
          <w:rStyle w:val="SourceText"/>
        </w:rPr>
        <w:t>macd</w:t>
      </w:r>
    </w:p>
    <w:p>
      <w:pPr>
        <w:pStyle w:val="PreformattedText"/>
        <w:bidi w:val="0"/>
        <w:spacing w:before="0" w:after="283"/>
        <w:jc w:val="start"/>
        <w:rPr/>
      </w:pPr>
      <w:r>
        <w:rPr>
          <w:rStyle w:val="SourceText"/>
        </w:rPr>
        <w:t>macd_signal</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jc w:val="start"/>
        <w:rPr/>
      </w:pPr>
      <w:r>
        <w:rPr/>
        <w:t>RSI</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spacing w:before="0" w:after="283"/>
        <w:ind w:hanging="0" w:start="0" w:end="0"/>
        <w:jc w:val="start"/>
        <w:rPr/>
      </w:pPr>
      <w:bookmarkStart w:id="5" w:name="code-block-viewer_Copy_5"/>
      <w:bookmarkEnd w:id="5"/>
      <w:r>
        <w:rPr>
          <w:rStyle w:val="SourceText"/>
        </w:rPr>
        <w:t>rsi_14</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jc w:val="start"/>
        <w:rPr/>
      </w:pPr>
      <w:r>
        <w:rPr/>
        <w:t>Volatility</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6" w:name="code-block-viewer_Copy_6"/>
      <w:bookmarkEnd w:id="6"/>
      <w:r>
        <w:rPr>
          <w:rStyle w:val="SourceText"/>
        </w:rPr>
        <w:t>volatility_20d</w:t>
      </w:r>
    </w:p>
    <w:p>
      <w:pPr>
        <w:pStyle w:val="PreformattedText"/>
        <w:bidi w:val="0"/>
        <w:spacing w:before="0" w:after="283"/>
        <w:jc w:val="start"/>
        <w:rPr/>
      </w:pPr>
      <w:r>
        <w:rPr>
          <w:rStyle w:val="SourceText"/>
        </w:rPr>
        <w:t>volatility_60d</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jc w:val="start"/>
        <w:rPr/>
      </w:pPr>
      <w:r>
        <w:rPr/>
        <w:t>OHLC structure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7" w:name="code-block-viewer_Copy_7"/>
      <w:bookmarkEnd w:id="7"/>
      <w:r>
        <w:rPr>
          <w:rStyle w:val="SourceText"/>
        </w:rPr>
        <w:t>high_low_range</w:t>
      </w:r>
    </w:p>
    <w:p>
      <w:pPr>
        <w:pStyle w:val="PreformattedText"/>
        <w:bidi w:val="0"/>
        <w:spacing w:before="0" w:after="283"/>
        <w:jc w:val="start"/>
        <w:rPr/>
      </w:pPr>
      <w:r>
        <w:rPr>
          <w:rStyle w:val="SourceText"/>
        </w:rPr>
        <w:t>open_close_return</w:t>
      </w:r>
    </w:p>
    <w:p>
      <w:pPr>
        <w:sectPr>
          <w:type w:val="continuous"/>
          <w:pgSz w:w="11906" w:h="16838"/>
          <w:pgMar w:left="1134" w:right="1134" w:gutter="0" w:header="0" w:top="1134" w:footer="0" w:bottom="1134"/>
          <w:formProt w:val="false"/>
          <w:textDirection w:val="lrTb"/>
          <w:docGrid w:type="default" w:linePitch="100" w:charSpace="0"/>
        </w:sectPr>
      </w:pPr>
    </w:p>
    <w:p>
      <w:pPr>
        <w:pStyle w:val="Heading3"/>
        <w:bidi w:val="0"/>
        <w:jc w:val="start"/>
        <w:rPr/>
      </w:pPr>
      <w:r>
        <w:rPr/>
        <w:t>Volume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8" w:name="code-block-viewer_Copy_8"/>
      <w:bookmarkEnd w:id="8"/>
      <w:r>
        <w:rPr>
          <w:rStyle w:val="SourceText"/>
        </w:rPr>
        <w:t>volume_change</w:t>
      </w:r>
    </w:p>
    <w:p>
      <w:pPr>
        <w:pStyle w:val="PreformattedText"/>
        <w:bidi w:val="0"/>
        <w:spacing w:before="0" w:after="283"/>
        <w:jc w:val="start"/>
        <w:rPr/>
      </w:pPr>
      <w:r>
        <w:rPr>
          <w:rStyle w:val="SourceText"/>
        </w:rPr>
        <w:t>volume_zscore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So Experiment 1 is fundamentally a:</w:t>
      </w:r>
    </w:p>
    <w:p>
      <w:pPr>
        <w:pStyle w:val="BlockQuotationuser"/>
        <w:bidi w:val="0"/>
        <w:jc w:val="start"/>
        <w:rPr/>
      </w:pPr>
      <w:r>
        <w:rPr>
          <w:rStyle w:val="Strong"/>
        </w:rPr>
        <w:t>price + technical indicator + volume based prediction system.</w:t>
      </w:r>
    </w:p>
    <w:p>
      <w:pPr>
        <w:pStyle w:val="HorizontalLine"/>
        <w:bidi w:val="0"/>
        <w:jc w:val="start"/>
        <w:rPr/>
      </w:pPr>
      <w:r>
        <w:rPr/>
      </w:r>
    </w:p>
    <w:p>
      <w:pPr>
        <w:pStyle w:val="Heading1"/>
        <w:bidi w:val="0"/>
        <w:jc w:val="start"/>
        <w:rPr/>
      </w:pPr>
      <w:r>
        <w:rPr/>
        <w:t>4. What was the prediction target?</w:t>
      </w:r>
    </w:p>
    <w:p>
      <w:pPr>
        <w:pStyle w:val="BodyText"/>
        <w:bidi w:val="0"/>
        <w:jc w:val="start"/>
        <w:rPr/>
      </w:pPr>
      <w:r>
        <w:rPr/>
        <w:t>The principal target was: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spacing w:before="0" w:after="283"/>
        <w:ind w:hanging="0" w:start="0" w:end="0"/>
        <w:jc w:val="start"/>
        <w:rPr/>
      </w:pPr>
      <w:bookmarkStart w:id="9" w:name="code-block-viewer_Copy_9"/>
      <w:bookmarkEnd w:id="9"/>
      <w:r>
        <w:rPr>
          <w:rStyle w:val="SourceText"/>
        </w:rPr>
        <w:t>future_return_5d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which is calculated as: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spacing w:before="0" w:after="283"/>
        <w:ind w:hanging="0" w:start="0" w:end="0"/>
        <w:jc w:val="start"/>
        <w:rPr/>
      </w:pPr>
      <w:bookmarkStart w:id="10" w:name="code-block-viewer_Copy_10"/>
      <w:bookmarkEnd w:id="10"/>
      <w:r>
        <w:rPr>
          <w:rStyle w:val="SourceText"/>
        </w:rPr>
        <w:t>close[t+5] / close[t] - 1</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In mathematical notation:</w:t>
      </w:r>
    </w:p>
    <w:p>
      <w:pPr>
        <w:pStyle w:val="BodyText"/>
        <w:bidi w:val="0"/>
        <w:jc w:val="start"/>
        <w:rPr/>
      </w:pPr>
      <w:r>
        <w:rPr/>
        <w:t>where:</w:t>
      </w:r>
    </w:p>
    <w:p>
      <w:pPr>
        <w:pStyle w:val="BodyText"/>
        <w:numPr>
          <w:ilvl w:val="0"/>
          <w:numId w:val="2"/>
        </w:numPr>
        <w:tabs>
          <w:tab w:val="left" w:pos="709" w:leader="none"/>
        </w:tabs>
        <w:bidi w:val="0"/>
        <w:spacing w:before="0" w:after="0"/>
        <w:ind w:hanging="283" w:start="709"/>
        <w:jc w:val="start"/>
        <w:rPr/>
      </w:pPr>
      <w:r>
        <w:rPr/>
        <w:t xml:space="preserve">= price of stock at time </w:t>
      </w:r>
    </w:p>
    <w:p>
      <w:pPr>
        <w:pStyle w:val="BodyText"/>
        <w:numPr>
          <w:ilvl w:val="0"/>
          <w:numId w:val="2"/>
        </w:numPr>
        <w:tabs>
          <w:tab w:val="left" w:pos="709" w:leader="none"/>
        </w:tabs>
        <w:bidi w:val="0"/>
        <w:ind w:hanging="283" w:start="709"/>
        <w:jc w:val="start"/>
        <w:rPr/>
      </w:pPr>
      <w:r>
        <w:rPr/>
        <w:t xml:space="preserve">= price five trading sessions later. </w:t>
      </w:r>
    </w:p>
    <w:p>
      <w:pPr>
        <w:pStyle w:val="BodyText"/>
        <w:bidi w:val="0"/>
        <w:jc w:val="start"/>
        <w:rPr/>
      </w:pPr>
      <w:r>
        <w:rPr/>
        <w:t>You also have: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11" w:name="code-block-viewer_Copy_11"/>
      <w:bookmarkEnd w:id="11"/>
      <w:r>
        <w:rPr>
          <w:rStyle w:val="SourceText"/>
        </w:rPr>
        <w:t>future_return_1d</w:t>
      </w:r>
    </w:p>
    <w:p>
      <w:pPr>
        <w:pStyle w:val="PreformattedText"/>
        <w:bidi w:val="0"/>
        <w:jc w:val="start"/>
        <w:rPr/>
      </w:pPr>
      <w:r>
        <w:rPr>
          <w:rStyle w:val="SourceText"/>
        </w:rPr>
        <w:t>future_return_20d</w:t>
      </w:r>
    </w:p>
    <w:p>
      <w:pPr>
        <w:pStyle w:val="PreformattedText"/>
        <w:bidi w:val="0"/>
        <w:spacing w:before="0" w:after="283"/>
        <w:jc w:val="start"/>
        <w:rPr/>
      </w:pPr>
      <w:r>
        <w:rPr>
          <w:rStyle w:val="SourceText"/>
        </w:rPr>
        <w:t>target_up_5d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 xml:space="preserve">but the backtest we're discussing used </w:t>
      </w:r>
      <w:r>
        <w:rPr>
          <w:rStyle w:val="Strong"/>
        </w:rPr>
        <w:t>future_return_5d</w:t>
      </w:r>
      <w:r>
        <w:rPr/>
        <w:t>.</w:t>
      </w:r>
    </w:p>
    <w:p>
      <w:pPr>
        <w:pStyle w:val="HorizontalLine"/>
        <w:bidi w:val="0"/>
        <w:jc w:val="start"/>
        <w:rPr/>
      </w:pPr>
      <w:r>
        <w:rPr/>
      </w:r>
    </w:p>
    <w:p>
      <w:pPr>
        <w:pStyle w:val="Heading1"/>
        <w:bidi w:val="0"/>
        <w:jc w:val="start"/>
        <w:rPr/>
      </w:pPr>
      <w:r>
        <w:rPr/>
        <w:t>5. Did we find obvious target leakage?</w:t>
      </w:r>
    </w:p>
    <w:p>
      <w:pPr>
        <w:pStyle w:val="BodyText"/>
        <w:bidi w:val="0"/>
        <w:jc w:val="start"/>
        <w:rPr/>
      </w:pPr>
      <w:r>
        <w:rPr/>
        <w:t>We performed a leakage audit.</w:t>
      </w:r>
    </w:p>
    <w:p>
      <w:pPr>
        <w:pStyle w:val="BodyText"/>
        <w:bidi w:val="0"/>
        <w:jc w:val="start"/>
        <w:rPr/>
      </w:pPr>
      <w:r>
        <w:rPr/>
        <w:t>The audit showed:</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12" w:name="code-block-viewer_Copy_12"/>
      <w:bookmarkEnd w:id="12"/>
      <w:r>
        <w:rPr>
          <w:rStyle w:val="SourceText"/>
        </w:rPr>
        <w:t>future_return_1d</w:t>
      </w:r>
    </w:p>
    <w:p>
      <w:pPr>
        <w:pStyle w:val="PreformattedText"/>
        <w:bidi w:val="0"/>
        <w:jc w:val="start"/>
        <w:rPr/>
      </w:pPr>
      <w:r>
        <w:rPr>
          <w:rStyle w:val="SourceText"/>
        </w:rPr>
        <w:t>future_return_5d</w:t>
      </w:r>
    </w:p>
    <w:p>
      <w:pPr>
        <w:pStyle w:val="PreformattedText"/>
        <w:bidi w:val="0"/>
        <w:jc w:val="start"/>
        <w:rPr/>
      </w:pPr>
      <w:r>
        <w:rPr>
          <w:rStyle w:val="SourceText"/>
        </w:rPr>
        <w:t>future_return_20d</w:t>
      </w:r>
    </w:p>
    <w:p>
      <w:pPr>
        <w:pStyle w:val="PreformattedText"/>
        <w:bidi w:val="0"/>
        <w:spacing w:before="0" w:after="283"/>
        <w:jc w:val="start"/>
        <w:rPr/>
      </w:pPr>
      <w:r>
        <w:rPr>
          <w:rStyle w:val="SourceText"/>
        </w:rPr>
        <w:t>target_up_5d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are explicitly identifiable target/future columns.</w:t>
      </w:r>
    </w:p>
    <w:p>
      <w:pPr>
        <w:pStyle w:val="BodyText"/>
        <w:bidi w:val="0"/>
        <w:jc w:val="start"/>
        <w:rPr/>
      </w:pPr>
      <w:r>
        <w:rPr/>
        <w:t>The feature columns themselves had no obvious future columns.</w:t>
      </w:r>
    </w:p>
    <w:p>
      <w:pPr>
        <w:pStyle w:val="BodyText"/>
        <w:bidi w:val="0"/>
        <w:jc w:val="start"/>
        <w:rPr/>
      </w:pPr>
      <w:r>
        <w:rPr/>
        <w:t>The correlations between ordinary features and the 5-day target were relatively small, for example: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13" w:name="code-block-viewer_Copy_13"/>
      <w:bookmarkEnd w:id="13"/>
      <w:r>
        <w:rPr>
          <w:rStyle w:val="SourceText"/>
        </w:rPr>
        <w:t>volatility_60d       0.0124</w:t>
      </w:r>
    </w:p>
    <w:p>
      <w:pPr>
        <w:pStyle w:val="PreformattedText"/>
        <w:bidi w:val="0"/>
        <w:jc w:val="start"/>
        <w:rPr/>
      </w:pPr>
      <w:r>
        <w:rPr>
          <w:rStyle w:val="SourceText"/>
        </w:rPr>
        <w:t>volatility_20d       0.0054</w:t>
      </w:r>
    </w:p>
    <w:p>
      <w:pPr>
        <w:pStyle w:val="PreformattedText"/>
        <w:bidi w:val="0"/>
        <w:jc w:val="start"/>
        <w:rPr/>
      </w:pPr>
      <w:r>
        <w:rPr>
          <w:rStyle w:val="SourceText"/>
        </w:rPr>
        <w:t>high_low_range       0.0034</w:t>
      </w:r>
    </w:p>
    <w:p>
      <w:pPr>
        <w:pStyle w:val="PreformattedText"/>
        <w:bidi w:val="0"/>
        <w:jc w:val="start"/>
        <w:rPr/>
      </w:pPr>
      <w:r>
        <w:rPr>
          <w:rStyle w:val="SourceText"/>
        </w:rPr>
        <w:t>volume               0.0011</w:t>
      </w:r>
    </w:p>
    <w:p>
      <w:pPr>
        <w:pStyle w:val="PreformattedText"/>
        <w:bidi w:val="0"/>
        <w:jc w:val="start"/>
        <w:rPr/>
      </w:pPr>
      <w:r>
        <w:rPr>
          <w:rStyle w:val="SourceText"/>
        </w:rPr>
        <w:t>return_20d          -0.0110</w:t>
      </w:r>
    </w:p>
    <w:p>
      <w:pPr>
        <w:pStyle w:val="PreformattedText"/>
        <w:bidi w:val="0"/>
        <w:jc w:val="start"/>
        <w:rPr/>
      </w:pPr>
      <w:r>
        <w:rPr>
          <w:rStyle w:val="SourceText"/>
        </w:rPr>
        <w:t>rsi_14              -0.0200</w:t>
      </w:r>
    </w:p>
    <w:p>
      <w:pPr>
        <w:pStyle w:val="PreformattedText"/>
        <w:bidi w:val="0"/>
        <w:spacing w:before="0" w:after="283"/>
        <w:jc w:val="start"/>
        <w:rPr/>
      </w:pPr>
      <w:r>
        <w:rPr>
          <w:rStyle w:val="SourceText"/>
        </w:rPr>
        <w:t>return_5d           -0.0214</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 xml:space="preserve">That is </w:t>
      </w:r>
      <w:r>
        <w:rPr>
          <w:rStyle w:val="Strong"/>
        </w:rPr>
        <w:t>not evidence that there is no leakage</w:t>
      </w:r>
      <w:r>
        <w:rPr/>
        <w:t>, but it is reassuring that there isn't an obvious feature with a massive future-return correlation.</w:t>
      </w:r>
    </w:p>
    <w:p>
      <w:pPr>
        <w:pStyle w:val="BodyText"/>
        <w:bidi w:val="0"/>
        <w:jc w:val="start"/>
        <w:rPr/>
      </w:pPr>
      <w:r>
        <w:rPr/>
        <w:t>The important thing is that we should still perform a deeper temporal audit before Experiment 2.</w:t>
      </w:r>
    </w:p>
    <w:p>
      <w:pPr>
        <w:pStyle w:val="HorizontalLine"/>
        <w:bidi w:val="0"/>
        <w:jc w:val="start"/>
        <w:rPr/>
      </w:pPr>
      <w:r>
        <w:rPr/>
      </w:r>
    </w:p>
    <w:p>
      <w:pPr>
        <w:pStyle w:val="Heading1"/>
        <w:bidi w:val="0"/>
        <w:jc w:val="start"/>
        <w:rPr/>
      </w:pPr>
      <w:r>
        <w:rPr/>
        <w:t>6. Model 1 — LightGBM</w:t>
      </w:r>
    </w:p>
    <w:p>
      <w:pPr>
        <w:pStyle w:val="BodyText"/>
        <w:bidi w:val="0"/>
        <w:jc w:val="start"/>
        <w:rPr/>
      </w:pPr>
      <w:r>
        <w:rPr/>
        <w:t xml:space="preserve">We used a </w:t>
      </w:r>
      <w:r>
        <w:rPr>
          <w:rStyle w:val="Strong"/>
        </w:rPr>
        <w:t>LightGBM model</w:t>
      </w:r>
      <w:r>
        <w:rPr/>
        <w:t xml:space="preserve"> for tabular prediction.</w:t>
      </w:r>
    </w:p>
    <w:p>
      <w:pPr>
        <w:pStyle w:val="BodyText"/>
        <w:bidi w:val="0"/>
        <w:jc w:val="start"/>
        <w:rPr/>
      </w:pPr>
      <w:r>
        <w:rPr/>
        <w:t>It received a feature schema of:</w:t>
      </w:r>
    </w:p>
    <w:p>
      <w:pPr>
        <w:pStyle w:val="BlockQuotationuser"/>
        <w:bidi w:val="0"/>
        <w:jc w:val="start"/>
        <w:rPr/>
      </w:pPr>
      <w:r>
        <w:rPr>
          <w:rStyle w:val="Strong"/>
        </w:rPr>
        <w:t>55 features</w:t>
      </w:r>
    </w:p>
    <w:p>
      <w:pPr>
        <w:pStyle w:val="BodyText"/>
        <w:bidi w:val="0"/>
        <w:jc w:val="start"/>
        <w:rPr/>
      </w:pPr>
      <w:r>
        <w:rPr/>
        <w:t>and successfully generated:</w:t>
      </w:r>
    </w:p>
    <w:p>
      <w:pPr>
        <w:pStyle w:val="BlockQuotationuser"/>
        <w:bidi w:val="0"/>
        <w:jc w:val="start"/>
        <w:rPr/>
      </w:pPr>
      <w:r>
        <w:rPr>
          <w:rStyle w:val="Strong"/>
        </w:rPr>
        <w:t>19,937 / 19,937 valid predictions</w:t>
      </w:r>
    </w:p>
    <w:p>
      <w:pPr>
        <w:pStyle w:val="BodyText"/>
        <w:bidi w:val="0"/>
        <w:jc w:val="start"/>
        <w:rPr/>
      </w:pPr>
      <w:r>
        <w:rPr/>
        <w:t>for the test set.</w:t>
      </w:r>
    </w:p>
    <w:p>
      <w:pPr>
        <w:pStyle w:val="BodyText"/>
        <w:bidi w:val="0"/>
        <w:jc w:val="start"/>
        <w:rPr/>
      </w:pPr>
      <w:r>
        <w:rPr/>
        <w:t>The LightGBM score distribution was: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14" w:name="code-block-viewer_Copy_14"/>
      <w:bookmarkEnd w:id="14"/>
      <w:r>
        <w:rPr>
          <w:rStyle w:val="SourceText"/>
        </w:rPr>
        <w:t>Mean = -0.007704</w:t>
      </w:r>
    </w:p>
    <w:p>
      <w:pPr>
        <w:pStyle w:val="PreformattedText"/>
        <w:bidi w:val="0"/>
        <w:spacing w:before="0" w:after="283"/>
        <w:jc w:val="start"/>
        <w:rPr/>
      </w:pPr>
      <w:r>
        <w:rPr>
          <w:rStyle w:val="SourceText"/>
        </w:rPr>
        <w:t>Std  =  0.015725</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So LightGBM produced a continuous score for every stock/date in the test set.</w:t>
      </w:r>
    </w:p>
    <w:p>
      <w:pPr>
        <w:pStyle w:val="Heading3"/>
        <w:bidi w:val="0"/>
        <w:jc w:val="start"/>
        <w:rPr/>
      </w:pPr>
      <w:r>
        <w:rPr/>
        <w:t>Results</w:t>
      </w:r>
    </w:p>
    <w:tbl>
      <w:tblPr>
        <w:tblW w:w="6529" w:type="dxa"/>
        <w:jc w:val="start"/>
        <w:tblInd w:w="0" w:type="dxa"/>
        <w:tblLayout w:type="fixed"/>
        <w:tblCellMar>
          <w:top w:w="28" w:type="dxa"/>
          <w:start w:w="28" w:type="dxa"/>
          <w:bottom w:w="28" w:type="dxa"/>
          <w:end w:w="28" w:type="dxa"/>
        </w:tblCellMar>
      </w:tblPr>
      <w:tblGrid>
        <w:gridCol w:w="778"/>
        <w:gridCol w:w="1022"/>
        <w:gridCol w:w="1023"/>
        <w:gridCol w:w="839"/>
        <w:gridCol w:w="865"/>
        <w:gridCol w:w="978"/>
        <w:gridCol w:w="1024"/>
      </w:tblGrid>
      <w:tr>
        <w:trPr>
          <w:tblHeader w:val="true"/>
        </w:trPr>
        <w:tc>
          <w:tcPr>
            <w:tcW w:w="778" w:type="dxa"/>
            <w:tcBorders/>
            <w:vAlign w:val="center"/>
          </w:tcPr>
          <w:p>
            <w:pPr>
              <w:pStyle w:val="TableHeading"/>
              <w:suppressLineNumbers/>
              <w:bidi w:val="0"/>
              <w:jc w:val="center"/>
              <w:rPr/>
            </w:pPr>
            <w:r>
              <w:rPr/>
              <w:t>Top-K</w:t>
            </w:r>
          </w:p>
        </w:tc>
        <w:tc>
          <w:tcPr>
            <w:tcW w:w="1022" w:type="dxa"/>
            <w:tcBorders/>
            <w:vAlign w:val="center"/>
          </w:tcPr>
          <w:p>
            <w:pPr>
              <w:pStyle w:val="TableHeading"/>
              <w:suppressLineNumbers/>
              <w:bidi w:val="0"/>
              <w:jc w:val="center"/>
              <w:rPr/>
            </w:pPr>
            <w:r>
              <w:rPr/>
              <w:t>Return</w:t>
            </w:r>
          </w:p>
        </w:tc>
        <w:tc>
          <w:tcPr>
            <w:tcW w:w="1023" w:type="dxa"/>
            <w:tcBorders/>
            <w:vAlign w:val="center"/>
          </w:tcPr>
          <w:p>
            <w:pPr>
              <w:pStyle w:val="TableHeading"/>
              <w:suppressLineNumbers/>
              <w:bidi w:val="0"/>
              <w:jc w:val="center"/>
              <w:rPr/>
            </w:pPr>
            <w:r>
              <w:rPr/>
              <w:t>CAGR</w:t>
            </w:r>
          </w:p>
        </w:tc>
        <w:tc>
          <w:tcPr>
            <w:tcW w:w="839" w:type="dxa"/>
            <w:tcBorders/>
            <w:vAlign w:val="center"/>
          </w:tcPr>
          <w:p>
            <w:pPr>
              <w:pStyle w:val="TableHeading"/>
              <w:suppressLineNumbers/>
              <w:bidi w:val="0"/>
              <w:jc w:val="center"/>
              <w:rPr/>
            </w:pPr>
            <w:r>
              <w:rPr/>
              <w:t>Sharpe</w:t>
            </w:r>
          </w:p>
        </w:tc>
        <w:tc>
          <w:tcPr>
            <w:tcW w:w="865" w:type="dxa"/>
            <w:tcBorders/>
            <w:vAlign w:val="center"/>
          </w:tcPr>
          <w:p>
            <w:pPr>
              <w:pStyle w:val="TableHeading"/>
              <w:suppressLineNumbers/>
              <w:bidi w:val="0"/>
              <w:jc w:val="center"/>
              <w:rPr/>
            </w:pPr>
            <w:r>
              <w:rPr/>
              <w:t>Sortino</w:t>
            </w:r>
          </w:p>
        </w:tc>
        <w:tc>
          <w:tcPr>
            <w:tcW w:w="978" w:type="dxa"/>
            <w:tcBorders/>
            <w:vAlign w:val="center"/>
          </w:tcPr>
          <w:p>
            <w:pPr>
              <w:pStyle w:val="TableHeading"/>
              <w:suppressLineNumbers/>
              <w:bidi w:val="0"/>
              <w:jc w:val="center"/>
              <w:rPr/>
            </w:pPr>
            <w:r>
              <w:rPr/>
              <w:t>Hit Rate</w:t>
            </w:r>
          </w:p>
        </w:tc>
        <w:tc>
          <w:tcPr>
            <w:tcW w:w="1024" w:type="dxa"/>
            <w:tcBorders/>
            <w:vAlign w:val="center"/>
          </w:tcPr>
          <w:p>
            <w:pPr>
              <w:pStyle w:val="TableHeading"/>
              <w:suppressLineNumbers/>
              <w:bidi w:val="0"/>
              <w:jc w:val="center"/>
              <w:rPr/>
            </w:pPr>
            <w:r>
              <w:rPr/>
              <w:t>Max DD</w:t>
            </w:r>
          </w:p>
        </w:tc>
      </w:tr>
      <w:tr>
        <w:trPr/>
        <w:tc>
          <w:tcPr>
            <w:tcW w:w="778" w:type="dxa"/>
            <w:tcBorders/>
            <w:vAlign w:val="center"/>
          </w:tcPr>
          <w:p>
            <w:pPr>
              <w:pStyle w:val="TableContents"/>
              <w:widowControl w:val="false"/>
              <w:suppressLineNumbers/>
              <w:bidi w:val="0"/>
              <w:jc w:val="start"/>
              <w:rPr/>
            </w:pPr>
            <w:r>
              <w:rPr/>
              <w:t>1</w:t>
            </w:r>
          </w:p>
        </w:tc>
        <w:tc>
          <w:tcPr>
            <w:tcW w:w="1022" w:type="dxa"/>
            <w:tcBorders/>
            <w:vAlign w:val="center"/>
          </w:tcPr>
          <w:p>
            <w:pPr>
              <w:pStyle w:val="TableContents"/>
              <w:widowControl w:val="false"/>
              <w:suppressLineNumbers/>
              <w:bidi w:val="0"/>
              <w:jc w:val="start"/>
              <w:rPr/>
            </w:pPr>
            <w:r>
              <w:rPr/>
              <w:t>-4.07%</w:t>
            </w:r>
          </w:p>
        </w:tc>
        <w:tc>
          <w:tcPr>
            <w:tcW w:w="1023" w:type="dxa"/>
            <w:tcBorders/>
            <w:vAlign w:val="center"/>
          </w:tcPr>
          <w:p>
            <w:pPr>
              <w:pStyle w:val="TableContents"/>
              <w:widowControl w:val="false"/>
              <w:suppressLineNumbers/>
              <w:bidi w:val="0"/>
              <w:jc w:val="start"/>
              <w:rPr/>
            </w:pPr>
            <w:r>
              <w:rPr/>
              <w:t>-2.52%</w:t>
            </w:r>
          </w:p>
        </w:tc>
        <w:tc>
          <w:tcPr>
            <w:tcW w:w="839" w:type="dxa"/>
            <w:tcBorders/>
            <w:vAlign w:val="center"/>
          </w:tcPr>
          <w:p>
            <w:pPr>
              <w:pStyle w:val="TableContents"/>
              <w:widowControl w:val="false"/>
              <w:suppressLineNumbers/>
              <w:bidi w:val="0"/>
              <w:jc w:val="start"/>
              <w:rPr/>
            </w:pPr>
            <w:r>
              <w:rPr/>
              <w:t>0.043</w:t>
            </w:r>
          </w:p>
        </w:tc>
        <w:tc>
          <w:tcPr>
            <w:tcW w:w="865" w:type="dxa"/>
            <w:tcBorders/>
            <w:vAlign w:val="center"/>
          </w:tcPr>
          <w:p>
            <w:pPr>
              <w:pStyle w:val="TableContents"/>
              <w:widowControl w:val="false"/>
              <w:suppressLineNumbers/>
              <w:bidi w:val="0"/>
              <w:jc w:val="start"/>
              <w:rPr/>
            </w:pPr>
            <w:r>
              <w:rPr/>
              <w:t>0.085</w:t>
            </w:r>
          </w:p>
        </w:tc>
        <w:tc>
          <w:tcPr>
            <w:tcW w:w="978" w:type="dxa"/>
            <w:tcBorders/>
            <w:vAlign w:val="center"/>
          </w:tcPr>
          <w:p>
            <w:pPr>
              <w:pStyle w:val="TableContents"/>
              <w:widowControl w:val="false"/>
              <w:suppressLineNumbers/>
              <w:bidi w:val="0"/>
              <w:jc w:val="start"/>
              <w:rPr/>
            </w:pPr>
            <w:r>
              <w:rPr/>
              <w:t>47.56%</w:t>
            </w:r>
          </w:p>
        </w:tc>
        <w:tc>
          <w:tcPr>
            <w:tcW w:w="1024" w:type="dxa"/>
            <w:tcBorders/>
            <w:vAlign w:val="center"/>
          </w:tcPr>
          <w:p>
            <w:pPr>
              <w:pStyle w:val="TableContents"/>
              <w:widowControl w:val="false"/>
              <w:suppressLineNumbers/>
              <w:bidi w:val="0"/>
              <w:jc w:val="start"/>
              <w:rPr/>
            </w:pPr>
            <w:r>
              <w:rPr/>
              <w:t>-32.62%</w:t>
            </w:r>
          </w:p>
        </w:tc>
      </w:tr>
      <w:tr>
        <w:trPr/>
        <w:tc>
          <w:tcPr>
            <w:tcW w:w="778" w:type="dxa"/>
            <w:tcBorders/>
            <w:vAlign w:val="center"/>
          </w:tcPr>
          <w:p>
            <w:pPr>
              <w:pStyle w:val="TableContents"/>
              <w:widowControl w:val="false"/>
              <w:suppressLineNumbers/>
              <w:bidi w:val="0"/>
              <w:jc w:val="start"/>
              <w:rPr/>
            </w:pPr>
            <w:r>
              <w:rPr/>
              <w:t>3</w:t>
            </w:r>
          </w:p>
        </w:tc>
        <w:tc>
          <w:tcPr>
            <w:tcW w:w="1022" w:type="dxa"/>
            <w:tcBorders/>
            <w:vAlign w:val="center"/>
          </w:tcPr>
          <w:p>
            <w:pPr>
              <w:pStyle w:val="TableContents"/>
              <w:widowControl w:val="false"/>
              <w:suppressLineNumbers/>
              <w:bidi w:val="0"/>
              <w:jc w:val="start"/>
              <w:rPr/>
            </w:pPr>
            <w:r>
              <w:rPr/>
              <w:t>-2.68%</w:t>
            </w:r>
          </w:p>
        </w:tc>
        <w:tc>
          <w:tcPr>
            <w:tcW w:w="1023" w:type="dxa"/>
            <w:tcBorders/>
            <w:vAlign w:val="center"/>
          </w:tcPr>
          <w:p>
            <w:pPr>
              <w:pStyle w:val="TableContents"/>
              <w:widowControl w:val="false"/>
              <w:suppressLineNumbers/>
              <w:bidi w:val="0"/>
              <w:jc w:val="start"/>
              <w:rPr/>
            </w:pPr>
            <w:r>
              <w:rPr/>
              <w:t>-1.66%</w:t>
            </w:r>
          </w:p>
        </w:tc>
        <w:tc>
          <w:tcPr>
            <w:tcW w:w="839" w:type="dxa"/>
            <w:tcBorders/>
            <w:vAlign w:val="center"/>
          </w:tcPr>
          <w:p>
            <w:pPr>
              <w:pStyle w:val="TableContents"/>
              <w:widowControl w:val="false"/>
              <w:suppressLineNumbers/>
              <w:bidi w:val="0"/>
              <w:jc w:val="start"/>
              <w:rPr/>
            </w:pPr>
            <w:r>
              <w:rPr/>
              <w:t>0.027</w:t>
            </w:r>
          </w:p>
        </w:tc>
        <w:tc>
          <w:tcPr>
            <w:tcW w:w="865" w:type="dxa"/>
            <w:tcBorders/>
            <w:vAlign w:val="center"/>
          </w:tcPr>
          <w:p>
            <w:pPr>
              <w:pStyle w:val="TableContents"/>
              <w:widowControl w:val="false"/>
              <w:suppressLineNumbers/>
              <w:bidi w:val="0"/>
              <w:jc w:val="start"/>
              <w:rPr/>
            </w:pPr>
            <w:r>
              <w:rPr/>
              <w:t>0.055</w:t>
            </w:r>
          </w:p>
        </w:tc>
        <w:tc>
          <w:tcPr>
            <w:tcW w:w="978" w:type="dxa"/>
            <w:tcBorders/>
            <w:vAlign w:val="center"/>
          </w:tcPr>
          <w:p>
            <w:pPr>
              <w:pStyle w:val="TableContents"/>
              <w:widowControl w:val="false"/>
              <w:suppressLineNumbers/>
              <w:bidi w:val="0"/>
              <w:jc w:val="start"/>
              <w:rPr/>
            </w:pPr>
            <w:r>
              <w:rPr/>
              <w:t>48.78%</w:t>
            </w:r>
          </w:p>
        </w:tc>
        <w:tc>
          <w:tcPr>
            <w:tcW w:w="1024" w:type="dxa"/>
            <w:tcBorders/>
            <w:vAlign w:val="center"/>
          </w:tcPr>
          <w:p>
            <w:pPr>
              <w:pStyle w:val="TableContents"/>
              <w:widowControl w:val="false"/>
              <w:suppressLineNumbers/>
              <w:bidi w:val="0"/>
              <w:jc w:val="start"/>
              <w:rPr/>
            </w:pPr>
            <w:r>
              <w:rPr/>
              <w:t>-21.28%</w:t>
            </w:r>
          </w:p>
        </w:tc>
      </w:tr>
      <w:tr>
        <w:trPr/>
        <w:tc>
          <w:tcPr>
            <w:tcW w:w="778" w:type="dxa"/>
            <w:tcBorders/>
            <w:vAlign w:val="center"/>
          </w:tcPr>
          <w:p>
            <w:pPr>
              <w:pStyle w:val="TableContents"/>
              <w:widowControl w:val="false"/>
              <w:suppressLineNumbers/>
              <w:bidi w:val="0"/>
              <w:jc w:val="start"/>
              <w:rPr/>
            </w:pPr>
            <w:r>
              <w:rPr/>
              <w:t>5</w:t>
            </w:r>
          </w:p>
        </w:tc>
        <w:tc>
          <w:tcPr>
            <w:tcW w:w="1022" w:type="dxa"/>
            <w:tcBorders/>
            <w:vAlign w:val="center"/>
          </w:tcPr>
          <w:p>
            <w:pPr>
              <w:pStyle w:val="TableContents"/>
              <w:widowControl w:val="false"/>
              <w:suppressLineNumbers/>
              <w:bidi w:val="0"/>
              <w:jc w:val="start"/>
              <w:rPr/>
            </w:pPr>
            <w:r>
              <w:rPr/>
              <w:t>+5.92%</w:t>
            </w:r>
          </w:p>
        </w:tc>
        <w:tc>
          <w:tcPr>
            <w:tcW w:w="1023" w:type="dxa"/>
            <w:tcBorders/>
            <w:vAlign w:val="center"/>
          </w:tcPr>
          <w:p>
            <w:pPr>
              <w:pStyle w:val="TableContents"/>
              <w:widowControl w:val="false"/>
              <w:suppressLineNumbers/>
              <w:bidi w:val="0"/>
              <w:jc w:val="start"/>
              <w:rPr/>
            </w:pPr>
            <w:r>
              <w:rPr/>
              <w:t>+3.60%</w:t>
            </w:r>
          </w:p>
        </w:tc>
        <w:tc>
          <w:tcPr>
            <w:tcW w:w="839" w:type="dxa"/>
            <w:tcBorders/>
            <w:vAlign w:val="center"/>
          </w:tcPr>
          <w:p>
            <w:pPr>
              <w:pStyle w:val="TableContents"/>
              <w:widowControl w:val="false"/>
              <w:suppressLineNumbers/>
              <w:bidi w:val="0"/>
              <w:jc w:val="start"/>
              <w:rPr/>
            </w:pPr>
            <w:r>
              <w:rPr/>
              <w:t>0.283</w:t>
            </w:r>
          </w:p>
        </w:tc>
        <w:tc>
          <w:tcPr>
            <w:tcW w:w="865" w:type="dxa"/>
            <w:tcBorders/>
            <w:vAlign w:val="center"/>
          </w:tcPr>
          <w:p>
            <w:pPr>
              <w:pStyle w:val="TableContents"/>
              <w:widowControl w:val="false"/>
              <w:suppressLineNumbers/>
              <w:bidi w:val="0"/>
              <w:jc w:val="start"/>
              <w:rPr/>
            </w:pPr>
            <w:r>
              <w:rPr/>
              <w:t>0.595</w:t>
            </w:r>
          </w:p>
        </w:tc>
        <w:tc>
          <w:tcPr>
            <w:tcW w:w="978" w:type="dxa"/>
            <w:tcBorders/>
            <w:vAlign w:val="center"/>
          </w:tcPr>
          <w:p>
            <w:pPr>
              <w:pStyle w:val="TableContents"/>
              <w:widowControl w:val="false"/>
              <w:suppressLineNumbers/>
              <w:bidi w:val="0"/>
              <w:jc w:val="start"/>
              <w:rPr/>
            </w:pPr>
            <w:r>
              <w:rPr/>
              <w:t>47.56%</w:t>
            </w:r>
          </w:p>
        </w:tc>
        <w:tc>
          <w:tcPr>
            <w:tcW w:w="1024" w:type="dxa"/>
            <w:tcBorders/>
            <w:vAlign w:val="center"/>
          </w:tcPr>
          <w:p>
            <w:pPr>
              <w:pStyle w:val="TableContents"/>
              <w:widowControl w:val="false"/>
              <w:suppressLineNumbers/>
              <w:bidi w:val="0"/>
              <w:jc w:val="start"/>
              <w:rPr/>
            </w:pPr>
            <w:r>
              <w:rPr/>
              <w:t>-20.13%</w:t>
            </w:r>
          </w:p>
        </w:tc>
      </w:tr>
      <w:tr>
        <w:trPr/>
        <w:tc>
          <w:tcPr>
            <w:tcW w:w="778" w:type="dxa"/>
            <w:tcBorders/>
            <w:vAlign w:val="center"/>
          </w:tcPr>
          <w:p>
            <w:pPr>
              <w:pStyle w:val="TableContents"/>
              <w:widowControl w:val="false"/>
              <w:suppressLineNumbers/>
              <w:bidi w:val="0"/>
              <w:jc w:val="start"/>
              <w:rPr/>
            </w:pPr>
            <w:r>
              <w:rPr>
                <w:rStyle w:val="Strong"/>
              </w:rPr>
              <w:t>10</w:t>
            </w:r>
          </w:p>
        </w:tc>
        <w:tc>
          <w:tcPr>
            <w:tcW w:w="1022" w:type="dxa"/>
            <w:tcBorders/>
            <w:vAlign w:val="center"/>
          </w:tcPr>
          <w:p>
            <w:pPr>
              <w:pStyle w:val="TableContents"/>
              <w:widowControl w:val="false"/>
              <w:suppressLineNumbers/>
              <w:bidi w:val="0"/>
              <w:jc w:val="start"/>
              <w:rPr/>
            </w:pPr>
            <w:r>
              <w:rPr>
                <w:rStyle w:val="Strong"/>
              </w:rPr>
              <w:t>+22.03%</w:t>
            </w:r>
          </w:p>
        </w:tc>
        <w:tc>
          <w:tcPr>
            <w:tcW w:w="1023" w:type="dxa"/>
            <w:tcBorders/>
            <w:vAlign w:val="center"/>
          </w:tcPr>
          <w:p>
            <w:pPr>
              <w:pStyle w:val="TableContents"/>
              <w:widowControl w:val="false"/>
              <w:suppressLineNumbers/>
              <w:bidi w:val="0"/>
              <w:jc w:val="start"/>
              <w:rPr/>
            </w:pPr>
            <w:r>
              <w:rPr>
                <w:rStyle w:val="Strong"/>
              </w:rPr>
              <w:t>+13.02%</w:t>
            </w:r>
          </w:p>
        </w:tc>
        <w:tc>
          <w:tcPr>
            <w:tcW w:w="839" w:type="dxa"/>
            <w:tcBorders/>
            <w:vAlign w:val="center"/>
          </w:tcPr>
          <w:p>
            <w:pPr>
              <w:pStyle w:val="TableContents"/>
              <w:widowControl w:val="false"/>
              <w:suppressLineNumbers/>
              <w:bidi w:val="0"/>
              <w:jc w:val="start"/>
              <w:rPr/>
            </w:pPr>
            <w:r>
              <w:rPr>
                <w:rStyle w:val="Strong"/>
              </w:rPr>
              <w:t>0.824</w:t>
            </w:r>
          </w:p>
        </w:tc>
        <w:tc>
          <w:tcPr>
            <w:tcW w:w="865" w:type="dxa"/>
            <w:tcBorders/>
            <w:vAlign w:val="center"/>
          </w:tcPr>
          <w:p>
            <w:pPr>
              <w:pStyle w:val="TableContents"/>
              <w:widowControl w:val="false"/>
              <w:suppressLineNumbers/>
              <w:bidi w:val="0"/>
              <w:jc w:val="start"/>
              <w:rPr/>
            </w:pPr>
            <w:r>
              <w:rPr>
                <w:rStyle w:val="Strong"/>
              </w:rPr>
              <w:t>1.783</w:t>
            </w:r>
          </w:p>
        </w:tc>
        <w:tc>
          <w:tcPr>
            <w:tcW w:w="978" w:type="dxa"/>
            <w:tcBorders/>
            <w:vAlign w:val="center"/>
          </w:tcPr>
          <w:p>
            <w:pPr>
              <w:pStyle w:val="TableContents"/>
              <w:widowControl w:val="false"/>
              <w:suppressLineNumbers/>
              <w:bidi w:val="0"/>
              <w:jc w:val="start"/>
              <w:rPr/>
            </w:pPr>
            <w:r>
              <w:rPr/>
              <w:t>47.56%</w:t>
            </w:r>
          </w:p>
        </w:tc>
        <w:tc>
          <w:tcPr>
            <w:tcW w:w="1024" w:type="dxa"/>
            <w:tcBorders/>
            <w:vAlign w:val="center"/>
          </w:tcPr>
          <w:p>
            <w:pPr>
              <w:pStyle w:val="TableContents"/>
              <w:widowControl w:val="false"/>
              <w:suppressLineNumbers/>
              <w:bidi w:val="0"/>
              <w:jc w:val="start"/>
              <w:rPr/>
            </w:pPr>
            <w:r>
              <w:rPr/>
              <w:t>-13.89%</w:t>
            </w:r>
          </w:p>
        </w:tc>
      </w:tr>
    </w:tbl>
    <w:p>
      <w:pPr>
        <w:pStyle w:val="Heading3"/>
        <w:bidi w:val="0"/>
        <w:jc w:val="start"/>
        <w:rPr/>
      </w:pPr>
      <w:r>
        <w:rPr/>
        <w:t>Interpretation</w:t>
      </w:r>
    </w:p>
    <w:p>
      <w:pPr>
        <w:pStyle w:val="BodyText"/>
        <w:bidi w:val="0"/>
        <w:jc w:val="start"/>
        <w:rPr/>
      </w:pPr>
      <w:r>
        <w:rPr/>
        <w:t xml:space="preserve">LightGBM was </w:t>
      </w:r>
      <w:r>
        <w:rPr>
          <w:rStyle w:val="Strong"/>
        </w:rPr>
        <w:t>not particularly good at identifying a single best stock</w:t>
      </w:r>
      <w:r>
        <w:rPr/>
        <w:t>, but its performance improved considerably when diversification increased.</w:t>
      </w:r>
    </w:p>
    <w:p>
      <w:pPr>
        <w:pStyle w:val="BodyText"/>
        <w:bidi w:val="0"/>
        <w:jc w:val="start"/>
        <w:rPr/>
      </w:pPr>
      <w:r>
        <w:rPr/>
        <w:t>Top-10 was its best tested configuration.</w:t>
      </w:r>
    </w:p>
    <w:p>
      <w:pPr>
        <w:pStyle w:val="HorizontalLine"/>
        <w:bidi w:val="0"/>
        <w:jc w:val="start"/>
        <w:rPr/>
      </w:pPr>
      <w:r>
        <w:rPr/>
      </w:r>
    </w:p>
    <w:p>
      <w:pPr>
        <w:pStyle w:val="Heading1"/>
        <w:bidi w:val="0"/>
        <w:jc w:val="start"/>
        <w:rPr/>
      </w:pPr>
      <w:r>
        <w:rPr/>
        <w:t>7. Model 2 — Factor model</w:t>
      </w:r>
    </w:p>
    <w:p>
      <w:pPr>
        <w:pStyle w:val="BodyText"/>
        <w:bidi w:val="0"/>
        <w:jc w:val="start"/>
        <w:rPr/>
      </w:pPr>
      <w:r>
        <w:rPr/>
        <w:t>The factor model was not a neural network.</w:t>
      </w:r>
    </w:p>
    <w:p>
      <w:pPr>
        <w:pStyle w:val="BodyText"/>
        <w:bidi w:val="0"/>
        <w:jc w:val="start"/>
        <w:rPr/>
      </w:pPr>
      <w:r>
        <w:rPr/>
        <w:t>It constructed cross-sectional ranks from:</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15" w:name="code-block-viewer_Copy_15"/>
      <w:bookmarkEnd w:id="15"/>
      <w:r>
        <w:rPr>
          <w:rStyle w:val="SourceText"/>
        </w:rPr>
        <w:t>return_20d</w:t>
      </w:r>
    </w:p>
    <w:p>
      <w:pPr>
        <w:pStyle w:val="PreformattedText"/>
        <w:bidi w:val="0"/>
        <w:jc w:val="start"/>
        <w:rPr/>
      </w:pPr>
      <w:r>
        <w:rPr>
          <w:rStyle w:val="SourceText"/>
        </w:rPr>
        <w:t>return_60d</w:t>
      </w:r>
    </w:p>
    <w:p>
      <w:pPr>
        <w:pStyle w:val="PreformattedText"/>
        <w:bidi w:val="0"/>
        <w:jc w:val="start"/>
        <w:rPr/>
      </w:pPr>
      <w:r>
        <w:rPr>
          <w:rStyle w:val="SourceText"/>
        </w:rPr>
        <w:t>close_sma20_ratio</w:t>
      </w:r>
    </w:p>
    <w:p>
      <w:pPr>
        <w:pStyle w:val="PreformattedText"/>
        <w:bidi w:val="0"/>
        <w:jc w:val="start"/>
        <w:rPr/>
      </w:pPr>
      <w:r>
        <w:rPr>
          <w:rStyle w:val="SourceText"/>
        </w:rPr>
        <w:t>rsi_14</w:t>
      </w:r>
    </w:p>
    <w:p>
      <w:pPr>
        <w:pStyle w:val="PreformattedText"/>
        <w:bidi w:val="0"/>
        <w:spacing w:before="0" w:after="283"/>
        <w:jc w:val="start"/>
        <w:rPr/>
      </w:pPr>
      <w:r>
        <w:rPr>
          <w:rStyle w:val="SourceText"/>
        </w:rPr>
        <w:t>volume_zscore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The composite score was:</w:t>
      </w:r>
    </w:p>
    <w:p>
      <w:pPr>
        <w:pStyle w:val="BodyText"/>
        <w:bidi w:val="0"/>
        <w:jc w:val="start"/>
        <w:rPr/>
      </w:pPr>
      <w:r>
        <w:rPr/>
        <w:t>where each component was cross-sectionally ranked.</w:t>
      </w:r>
    </w:p>
    <w:p>
      <w:pPr>
        <w:pStyle w:val="BodyText"/>
        <w:bidi w:val="0"/>
        <w:jc w:val="start"/>
        <w:rPr/>
      </w:pPr>
      <w:r>
        <w:rPr/>
        <w:t xml:space="preserve">This is basically a </w:t>
      </w:r>
      <w:r>
        <w:rPr>
          <w:rStyle w:val="Strong"/>
        </w:rPr>
        <w:t>hand-designed factor/momentum strategy</w:t>
      </w:r>
      <w:r>
        <w:rPr/>
        <w:t>.</w:t>
      </w:r>
    </w:p>
    <w:p>
      <w:pPr>
        <w:pStyle w:val="Heading3"/>
        <w:bidi w:val="0"/>
        <w:jc w:val="start"/>
        <w:rPr/>
      </w:pPr>
      <w:r>
        <w:rPr/>
        <w:t>Results</w:t>
      </w:r>
    </w:p>
    <w:tbl>
      <w:tblPr>
        <w:tblW w:w="6529" w:type="dxa"/>
        <w:jc w:val="start"/>
        <w:tblInd w:w="0" w:type="dxa"/>
        <w:tblLayout w:type="fixed"/>
        <w:tblCellMar>
          <w:top w:w="28" w:type="dxa"/>
          <w:start w:w="28" w:type="dxa"/>
          <w:bottom w:w="28" w:type="dxa"/>
          <w:end w:w="28" w:type="dxa"/>
        </w:tblCellMar>
      </w:tblPr>
      <w:tblGrid>
        <w:gridCol w:w="778"/>
        <w:gridCol w:w="1022"/>
        <w:gridCol w:w="1023"/>
        <w:gridCol w:w="839"/>
        <w:gridCol w:w="865"/>
        <w:gridCol w:w="978"/>
        <w:gridCol w:w="1024"/>
      </w:tblGrid>
      <w:tr>
        <w:trPr>
          <w:tblHeader w:val="true"/>
        </w:trPr>
        <w:tc>
          <w:tcPr>
            <w:tcW w:w="778" w:type="dxa"/>
            <w:tcBorders/>
            <w:vAlign w:val="center"/>
          </w:tcPr>
          <w:p>
            <w:pPr>
              <w:pStyle w:val="TableHeading"/>
              <w:suppressLineNumbers/>
              <w:bidi w:val="0"/>
              <w:jc w:val="center"/>
              <w:rPr/>
            </w:pPr>
            <w:r>
              <w:rPr/>
              <w:t>Top-K</w:t>
            </w:r>
          </w:p>
        </w:tc>
        <w:tc>
          <w:tcPr>
            <w:tcW w:w="1022" w:type="dxa"/>
            <w:tcBorders/>
            <w:vAlign w:val="center"/>
          </w:tcPr>
          <w:p>
            <w:pPr>
              <w:pStyle w:val="TableHeading"/>
              <w:suppressLineNumbers/>
              <w:bidi w:val="0"/>
              <w:jc w:val="center"/>
              <w:rPr/>
            </w:pPr>
            <w:r>
              <w:rPr/>
              <w:t>Return</w:t>
            </w:r>
          </w:p>
        </w:tc>
        <w:tc>
          <w:tcPr>
            <w:tcW w:w="1023" w:type="dxa"/>
            <w:tcBorders/>
            <w:vAlign w:val="center"/>
          </w:tcPr>
          <w:p>
            <w:pPr>
              <w:pStyle w:val="TableHeading"/>
              <w:suppressLineNumbers/>
              <w:bidi w:val="0"/>
              <w:jc w:val="center"/>
              <w:rPr/>
            </w:pPr>
            <w:r>
              <w:rPr/>
              <w:t>CAGR</w:t>
            </w:r>
          </w:p>
        </w:tc>
        <w:tc>
          <w:tcPr>
            <w:tcW w:w="839" w:type="dxa"/>
            <w:tcBorders/>
            <w:vAlign w:val="center"/>
          </w:tcPr>
          <w:p>
            <w:pPr>
              <w:pStyle w:val="TableHeading"/>
              <w:suppressLineNumbers/>
              <w:bidi w:val="0"/>
              <w:jc w:val="center"/>
              <w:rPr/>
            </w:pPr>
            <w:r>
              <w:rPr/>
              <w:t>Sharpe</w:t>
            </w:r>
          </w:p>
        </w:tc>
        <w:tc>
          <w:tcPr>
            <w:tcW w:w="865" w:type="dxa"/>
            <w:tcBorders/>
            <w:vAlign w:val="center"/>
          </w:tcPr>
          <w:p>
            <w:pPr>
              <w:pStyle w:val="TableHeading"/>
              <w:suppressLineNumbers/>
              <w:bidi w:val="0"/>
              <w:jc w:val="center"/>
              <w:rPr/>
            </w:pPr>
            <w:r>
              <w:rPr/>
              <w:t>Sortino</w:t>
            </w:r>
          </w:p>
        </w:tc>
        <w:tc>
          <w:tcPr>
            <w:tcW w:w="978" w:type="dxa"/>
            <w:tcBorders/>
            <w:vAlign w:val="center"/>
          </w:tcPr>
          <w:p>
            <w:pPr>
              <w:pStyle w:val="TableHeading"/>
              <w:suppressLineNumbers/>
              <w:bidi w:val="0"/>
              <w:jc w:val="center"/>
              <w:rPr/>
            </w:pPr>
            <w:r>
              <w:rPr/>
              <w:t>Hit Rate</w:t>
            </w:r>
          </w:p>
        </w:tc>
        <w:tc>
          <w:tcPr>
            <w:tcW w:w="1024" w:type="dxa"/>
            <w:tcBorders/>
            <w:vAlign w:val="center"/>
          </w:tcPr>
          <w:p>
            <w:pPr>
              <w:pStyle w:val="TableHeading"/>
              <w:suppressLineNumbers/>
              <w:bidi w:val="0"/>
              <w:jc w:val="center"/>
              <w:rPr/>
            </w:pPr>
            <w:r>
              <w:rPr/>
              <w:t>Max DD</w:t>
            </w:r>
          </w:p>
        </w:tc>
      </w:tr>
      <w:tr>
        <w:trPr/>
        <w:tc>
          <w:tcPr>
            <w:tcW w:w="778" w:type="dxa"/>
            <w:tcBorders/>
            <w:vAlign w:val="center"/>
          </w:tcPr>
          <w:p>
            <w:pPr>
              <w:pStyle w:val="TableContents"/>
              <w:widowControl w:val="false"/>
              <w:suppressLineNumbers/>
              <w:bidi w:val="0"/>
              <w:jc w:val="start"/>
              <w:rPr/>
            </w:pPr>
            <w:r>
              <w:rPr>
                <w:rStyle w:val="Strong"/>
              </w:rPr>
              <w:t>1</w:t>
            </w:r>
          </w:p>
        </w:tc>
        <w:tc>
          <w:tcPr>
            <w:tcW w:w="1022" w:type="dxa"/>
            <w:tcBorders/>
            <w:vAlign w:val="center"/>
          </w:tcPr>
          <w:p>
            <w:pPr>
              <w:pStyle w:val="TableContents"/>
              <w:widowControl w:val="false"/>
              <w:suppressLineNumbers/>
              <w:bidi w:val="0"/>
              <w:jc w:val="start"/>
              <w:rPr/>
            </w:pPr>
            <w:r>
              <w:rPr>
                <w:rStyle w:val="Strong"/>
              </w:rPr>
              <w:t>+48.24%</w:t>
            </w:r>
          </w:p>
        </w:tc>
        <w:tc>
          <w:tcPr>
            <w:tcW w:w="1023" w:type="dxa"/>
            <w:tcBorders/>
            <w:vAlign w:val="center"/>
          </w:tcPr>
          <w:p>
            <w:pPr>
              <w:pStyle w:val="TableContents"/>
              <w:widowControl w:val="false"/>
              <w:suppressLineNumbers/>
              <w:bidi w:val="0"/>
              <w:jc w:val="start"/>
              <w:rPr/>
            </w:pPr>
            <w:r>
              <w:rPr>
                <w:rStyle w:val="Strong"/>
              </w:rPr>
              <w:t>+27.37%</w:t>
            </w:r>
          </w:p>
        </w:tc>
        <w:tc>
          <w:tcPr>
            <w:tcW w:w="839" w:type="dxa"/>
            <w:tcBorders/>
            <w:vAlign w:val="center"/>
          </w:tcPr>
          <w:p>
            <w:pPr>
              <w:pStyle w:val="TableContents"/>
              <w:widowControl w:val="false"/>
              <w:suppressLineNumbers/>
              <w:bidi w:val="0"/>
              <w:jc w:val="start"/>
              <w:rPr/>
            </w:pPr>
            <w:r>
              <w:rPr>
                <w:rStyle w:val="Strong"/>
              </w:rPr>
              <w:t>0.987</w:t>
            </w:r>
          </w:p>
        </w:tc>
        <w:tc>
          <w:tcPr>
            <w:tcW w:w="865" w:type="dxa"/>
            <w:tcBorders/>
            <w:vAlign w:val="center"/>
          </w:tcPr>
          <w:p>
            <w:pPr>
              <w:pStyle w:val="TableContents"/>
              <w:widowControl w:val="false"/>
              <w:suppressLineNumbers/>
              <w:bidi w:val="0"/>
              <w:jc w:val="start"/>
              <w:rPr/>
            </w:pPr>
            <w:r>
              <w:rPr/>
              <w:t>1.549</w:t>
            </w:r>
          </w:p>
        </w:tc>
        <w:tc>
          <w:tcPr>
            <w:tcW w:w="978" w:type="dxa"/>
            <w:tcBorders/>
            <w:vAlign w:val="center"/>
          </w:tcPr>
          <w:p>
            <w:pPr>
              <w:pStyle w:val="TableContents"/>
              <w:widowControl w:val="false"/>
              <w:suppressLineNumbers/>
              <w:bidi w:val="0"/>
              <w:jc w:val="start"/>
              <w:rPr/>
            </w:pPr>
            <w:r>
              <w:rPr/>
              <w:t>57.32%</w:t>
            </w:r>
          </w:p>
        </w:tc>
        <w:tc>
          <w:tcPr>
            <w:tcW w:w="1024" w:type="dxa"/>
            <w:tcBorders/>
            <w:vAlign w:val="center"/>
          </w:tcPr>
          <w:p>
            <w:pPr>
              <w:pStyle w:val="TableContents"/>
              <w:widowControl w:val="false"/>
              <w:suppressLineNumbers/>
              <w:bidi w:val="0"/>
              <w:jc w:val="start"/>
              <w:rPr/>
            </w:pPr>
            <w:r>
              <w:rPr/>
              <w:t>-23.23%</w:t>
            </w:r>
          </w:p>
        </w:tc>
      </w:tr>
      <w:tr>
        <w:trPr/>
        <w:tc>
          <w:tcPr>
            <w:tcW w:w="778" w:type="dxa"/>
            <w:tcBorders/>
            <w:vAlign w:val="center"/>
          </w:tcPr>
          <w:p>
            <w:pPr>
              <w:pStyle w:val="TableContents"/>
              <w:widowControl w:val="false"/>
              <w:suppressLineNumbers/>
              <w:bidi w:val="0"/>
              <w:jc w:val="start"/>
              <w:rPr/>
            </w:pPr>
            <w:r>
              <w:rPr/>
              <w:t>3</w:t>
            </w:r>
          </w:p>
        </w:tc>
        <w:tc>
          <w:tcPr>
            <w:tcW w:w="1022" w:type="dxa"/>
            <w:tcBorders/>
            <w:vAlign w:val="center"/>
          </w:tcPr>
          <w:p>
            <w:pPr>
              <w:pStyle w:val="TableContents"/>
              <w:widowControl w:val="false"/>
              <w:suppressLineNumbers/>
              <w:bidi w:val="0"/>
              <w:jc w:val="start"/>
              <w:rPr/>
            </w:pPr>
            <w:r>
              <w:rPr/>
              <w:t>+1.69%</w:t>
            </w:r>
          </w:p>
        </w:tc>
        <w:tc>
          <w:tcPr>
            <w:tcW w:w="1023" w:type="dxa"/>
            <w:tcBorders/>
            <w:vAlign w:val="center"/>
          </w:tcPr>
          <w:p>
            <w:pPr>
              <w:pStyle w:val="TableContents"/>
              <w:widowControl w:val="false"/>
              <w:suppressLineNumbers/>
              <w:bidi w:val="0"/>
              <w:jc w:val="start"/>
              <w:rPr/>
            </w:pPr>
            <w:r>
              <w:rPr/>
              <w:t>+1.04%</w:t>
            </w:r>
          </w:p>
        </w:tc>
        <w:tc>
          <w:tcPr>
            <w:tcW w:w="839" w:type="dxa"/>
            <w:tcBorders/>
            <w:vAlign w:val="center"/>
          </w:tcPr>
          <w:p>
            <w:pPr>
              <w:pStyle w:val="TableContents"/>
              <w:widowControl w:val="false"/>
              <w:suppressLineNumbers/>
              <w:bidi w:val="0"/>
              <w:jc w:val="start"/>
              <w:rPr/>
            </w:pPr>
            <w:r>
              <w:rPr/>
              <w:t>0.147</w:t>
            </w:r>
          </w:p>
        </w:tc>
        <w:tc>
          <w:tcPr>
            <w:tcW w:w="865" w:type="dxa"/>
            <w:tcBorders/>
            <w:vAlign w:val="center"/>
          </w:tcPr>
          <w:p>
            <w:pPr>
              <w:pStyle w:val="TableContents"/>
              <w:widowControl w:val="false"/>
              <w:suppressLineNumbers/>
              <w:bidi w:val="0"/>
              <w:jc w:val="start"/>
              <w:rPr/>
            </w:pPr>
            <w:r>
              <w:rPr/>
              <w:t>0.263</w:t>
            </w:r>
          </w:p>
        </w:tc>
        <w:tc>
          <w:tcPr>
            <w:tcW w:w="978" w:type="dxa"/>
            <w:tcBorders/>
            <w:vAlign w:val="center"/>
          </w:tcPr>
          <w:p>
            <w:pPr>
              <w:pStyle w:val="TableContents"/>
              <w:widowControl w:val="false"/>
              <w:suppressLineNumbers/>
              <w:bidi w:val="0"/>
              <w:jc w:val="start"/>
              <w:rPr/>
            </w:pPr>
            <w:r>
              <w:rPr/>
              <w:t>48.78%</w:t>
            </w:r>
          </w:p>
        </w:tc>
        <w:tc>
          <w:tcPr>
            <w:tcW w:w="1024" w:type="dxa"/>
            <w:tcBorders/>
            <w:vAlign w:val="center"/>
          </w:tcPr>
          <w:p>
            <w:pPr>
              <w:pStyle w:val="TableContents"/>
              <w:widowControl w:val="false"/>
              <w:suppressLineNumbers/>
              <w:bidi w:val="0"/>
              <w:jc w:val="start"/>
              <w:rPr/>
            </w:pPr>
            <w:r>
              <w:rPr/>
              <w:t>-17.59%</w:t>
            </w:r>
          </w:p>
        </w:tc>
      </w:tr>
      <w:tr>
        <w:trPr/>
        <w:tc>
          <w:tcPr>
            <w:tcW w:w="778" w:type="dxa"/>
            <w:tcBorders/>
            <w:vAlign w:val="center"/>
          </w:tcPr>
          <w:p>
            <w:pPr>
              <w:pStyle w:val="TableContents"/>
              <w:widowControl w:val="false"/>
              <w:suppressLineNumbers/>
              <w:bidi w:val="0"/>
              <w:jc w:val="start"/>
              <w:rPr/>
            </w:pPr>
            <w:r>
              <w:rPr/>
              <w:t>5</w:t>
            </w:r>
          </w:p>
        </w:tc>
        <w:tc>
          <w:tcPr>
            <w:tcW w:w="1022" w:type="dxa"/>
            <w:tcBorders/>
            <w:vAlign w:val="center"/>
          </w:tcPr>
          <w:p>
            <w:pPr>
              <w:pStyle w:val="TableContents"/>
              <w:widowControl w:val="false"/>
              <w:suppressLineNumbers/>
              <w:bidi w:val="0"/>
              <w:jc w:val="start"/>
              <w:rPr/>
            </w:pPr>
            <w:r>
              <w:rPr/>
              <w:t>+10.33%</w:t>
            </w:r>
          </w:p>
        </w:tc>
        <w:tc>
          <w:tcPr>
            <w:tcW w:w="1023" w:type="dxa"/>
            <w:tcBorders/>
            <w:vAlign w:val="center"/>
          </w:tcPr>
          <w:p>
            <w:pPr>
              <w:pStyle w:val="TableContents"/>
              <w:widowControl w:val="false"/>
              <w:suppressLineNumbers/>
              <w:bidi w:val="0"/>
              <w:jc w:val="start"/>
              <w:rPr/>
            </w:pPr>
            <w:r>
              <w:rPr/>
              <w:t>+6.23%</w:t>
            </w:r>
          </w:p>
        </w:tc>
        <w:tc>
          <w:tcPr>
            <w:tcW w:w="839" w:type="dxa"/>
            <w:tcBorders/>
            <w:vAlign w:val="center"/>
          </w:tcPr>
          <w:p>
            <w:pPr>
              <w:pStyle w:val="TableContents"/>
              <w:widowControl w:val="false"/>
              <w:suppressLineNumbers/>
              <w:bidi w:val="0"/>
              <w:jc w:val="start"/>
              <w:rPr/>
            </w:pPr>
            <w:r>
              <w:rPr/>
              <w:t>0.462</w:t>
            </w:r>
          </w:p>
        </w:tc>
        <w:tc>
          <w:tcPr>
            <w:tcW w:w="865" w:type="dxa"/>
            <w:tcBorders/>
            <w:vAlign w:val="center"/>
          </w:tcPr>
          <w:p>
            <w:pPr>
              <w:pStyle w:val="TableContents"/>
              <w:widowControl w:val="false"/>
              <w:suppressLineNumbers/>
              <w:bidi w:val="0"/>
              <w:jc w:val="start"/>
              <w:rPr/>
            </w:pPr>
            <w:r>
              <w:rPr/>
              <w:t>0.896</w:t>
            </w:r>
          </w:p>
        </w:tc>
        <w:tc>
          <w:tcPr>
            <w:tcW w:w="978" w:type="dxa"/>
            <w:tcBorders/>
            <w:vAlign w:val="center"/>
          </w:tcPr>
          <w:p>
            <w:pPr>
              <w:pStyle w:val="TableContents"/>
              <w:widowControl w:val="false"/>
              <w:suppressLineNumbers/>
              <w:bidi w:val="0"/>
              <w:jc w:val="start"/>
              <w:rPr/>
            </w:pPr>
            <w:r>
              <w:rPr/>
              <w:t>50.00%</w:t>
            </w:r>
          </w:p>
        </w:tc>
        <w:tc>
          <w:tcPr>
            <w:tcW w:w="1024" w:type="dxa"/>
            <w:tcBorders/>
            <w:vAlign w:val="center"/>
          </w:tcPr>
          <w:p>
            <w:pPr>
              <w:pStyle w:val="TableContents"/>
              <w:widowControl w:val="false"/>
              <w:suppressLineNumbers/>
              <w:bidi w:val="0"/>
              <w:jc w:val="start"/>
              <w:rPr/>
            </w:pPr>
            <w:r>
              <w:rPr/>
              <w:t>-14.41%</w:t>
            </w:r>
          </w:p>
        </w:tc>
      </w:tr>
      <w:tr>
        <w:trPr/>
        <w:tc>
          <w:tcPr>
            <w:tcW w:w="778" w:type="dxa"/>
            <w:tcBorders/>
            <w:vAlign w:val="center"/>
          </w:tcPr>
          <w:p>
            <w:pPr>
              <w:pStyle w:val="TableContents"/>
              <w:widowControl w:val="false"/>
              <w:suppressLineNumbers/>
              <w:bidi w:val="0"/>
              <w:jc w:val="start"/>
              <w:rPr/>
            </w:pPr>
            <w:r>
              <w:rPr>
                <w:rStyle w:val="Strong"/>
              </w:rPr>
              <w:t>10</w:t>
            </w:r>
          </w:p>
        </w:tc>
        <w:tc>
          <w:tcPr>
            <w:tcW w:w="1022" w:type="dxa"/>
            <w:tcBorders/>
            <w:vAlign w:val="center"/>
          </w:tcPr>
          <w:p>
            <w:pPr>
              <w:pStyle w:val="TableContents"/>
              <w:widowControl w:val="false"/>
              <w:suppressLineNumbers/>
              <w:bidi w:val="0"/>
              <w:jc w:val="start"/>
              <w:rPr/>
            </w:pPr>
            <w:r>
              <w:rPr>
                <w:rStyle w:val="Strong"/>
              </w:rPr>
              <w:t>+21.81%</w:t>
            </w:r>
          </w:p>
        </w:tc>
        <w:tc>
          <w:tcPr>
            <w:tcW w:w="1023" w:type="dxa"/>
            <w:tcBorders/>
            <w:vAlign w:val="center"/>
          </w:tcPr>
          <w:p>
            <w:pPr>
              <w:pStyle w:val="TableContents"/>
              <w:widowControl w:val="false"/>
              <w:suppressLineNumbers/>
              <w:bidi w:val="0"/>
              <w:jc w:val="start"/>
              <w:rPr/>
            </w:pPr>
            <w:r>
              <w:rPr>
                <w:rStyle w:val="Strong"/>
              </w:rPr>
              <w:t>+12.89%</w:t>
            </w:r>
          </w:p>
        </w:tc>
        <w:tc>
          <w:tcPr>
            <w:tcW w:w="839" w:type="dxa"/>
            <w:tcBorders/>
            <w:vAlign w:val="center"/>
          </w:tcPr>
          <w:p>
            <w:pPr>
              <w:pStyle w:val="TableContents"/>
              <w:widowControl w:val="false"/>
              <w:suppressLineNumbers/>
              <w:bidi w:val="0"/>
              <w:jc w:val="start"/>
              <w:rPr/>
            </w:pPr>
            <w:r>
              <w:rPr>
                <w:rStyle w:val="Strong"/>
              </w:rPr>
              <w:t>0.963</w:t>
            </w:r>
          </w:p>
        </w:tc>
        <w:tc>
          <w:tcPr>
            <w:tcW w:w="865" w:type="dxa"/>
            <w:tcBorders/>
            <w:vAlign w:val="center"/>
          </w:tcPr>
          <w:p>
            <w:pPr>
              <w:pStyle w:val="TableContents"/>
              <w:widowControl w:val="false"/>
              <w:suppressLineNumbers/>
              <w:bidi w:val="0"/>
              <w:jc w:val="start"/>
              <w:rPr/>
            </w:pPr>
            <w:r>
              <w:rPr>
                <w:rStyle w:val="Strong"/>
              </w:rPr>
              <w:t>2.144</w:t>
            </w:r>
          </w:p>
        </w:tc>
        <w:tc>
          <w:tcPr>
            <w:tcW w:w="978" w:type="dxa"/>
            <w:tcBorders/>
            <w:vAlign w:val="center"/>
          </w:tcPr>
          <w:p>
            <w:pPr>
              <w:pStyle w:val="TableContents"/>
              <w:widowControl w:val="false"/>
              <w:suppressLineNumbers/>
              <w:bidi w:val="0"/>
              <w:jc w:val="start"/>
              <w:rPr/>
            </w:pPr>
            <w:r>
              <w:rPr/>
              <w:t>54.88%</w:t>
            </w:r>
          </w:p>
        </w:tc>
        <w:tc>
          <w:tcPr>
            <w:tcW w:w="1024" w:type="dxa"/>
            <w:tcBorders/>
            <w:vAlign w:val="center"/>
          </w:tcPr>
          <w:p>
            <w:pPr>
              <w:pStyle w:val="TableContents"/>
              <w:widowControl w:val="false"/>
              <w:suppressLineNumbers/>
              <w:bidi w:val="0"/>
              <w:jc w:val="start"/>
              <w:rPr/>
            </w:pPr>
            <w:r>
              <w:rPr>
                <w:rStyle w:val="Strong"/>
              </w:rPr>
              <w:t>-9.98%</w:t>
            </w:r>
          </w:p>
        </w:tc>
      </w:tr>
    </w:tbl>
    <w:p>
      <w:pPr>
        <w:pStyle w:val="BodyText"/>
        <w:bidi w:val="0"/>
        <w:jc w:val="start"/>
        <w:rPr/>
      </w:pPr>
      <w:r>
        <w:rPr/>
        <w:t>Interesting result:</w:t>
      </w:r>
    </w:p>
    <w:p>
      <w:pPr>
        <w:pStyle w:val="BodyText"/>
        <w:bidi w:val="0"/>
        <w:jc w:val="start"/>
        <w:rPr/>
      </w:pPr>
      <w:r>
        <w:rPr>
          <w:rStyle w:val="Strong"/>
        </w:rPr>
        <w:t>Top-1 and Top-10 are both strong, but Top-10 has substantially lower drawdown.</w:t>
      </w:r>
    </w:p>
    <w:p>
      <w:pPr>
        <w:pStyle w:val="HorizontalLine"/>
        <w:bidi w:val="0"/>
        <w:jc w:val="start"/>
        <w:rPr/>
      </w:pPr>
      <w:r>
        <w:rPr/>
      </w:r>
    </w:p>
    <w:p>
      <w:pPr>
        <w:pStyle w:val="Heading1"/>
        <w:bidi w:val="0"/>
        <w:jc w:val="start"/>
        <w:rPr/>
      </w:pPr>
      <w:r>
        <w:rPr/>
        <w:t>8. Model 3 — Momentum</w:t>
      </w:r>
    </w:p>
    <w:p>
      <w:pPr>
        <w:pStyle w:val="BodyText"/>
        <w:bidi w:val="0"/>
        <w:jc w:val="start"/>
        <w:rPr/>
      </w:pPr>
      <w:r>
        <w:rPr/>
        <w:t>The momentum score is another ranking-based strategy.</w:t>
      </w:r>
    </w:p>
    <w:p>
      <w:pPr>
        <w:pStyle w:val="BodyText"/>
        <w:bidi w:val="0"/>
        <w:jc w:val="start"/>
        <w:rPr/>
      </w:pPr>
      <w:r>
        <w:rPr/>
        <w:t>It performed:</w:t>
      </w:r>
    </w:p>
    <w:tbl>
      <w:tblPr>
        <w:tblW w:w="6540" w:type="dxa"/>
        <w:jc w:val="start"/>
        <w:tblInd w:w="0" w:type="dxa"/>
        <w:tblLayout w:type="fixed"/>
        <w:tblCellMar>
          <w:top w:w="28" w:type="dxa"/>
          <w:start w:w="28" w:type="dxa"/>
          <w:bottom w:w="28" w:type="dxa"/>
          <w:end w:w="28" w:type="dxa"/>
        </w:tblCellMar>
      </w:tblPr>
      <w:tblGrid>
        <w:gridCol w:w="790"/>
        <w:gridCol w:w="1022"/>
        <w:gridCol w:w="1021"/>
        <w:gridCol w:w="839"/>
        <w:gridCol w:w="866"/>
        <w:gridCol w:w="979"/>
        <w:gridCol w:w="1023"/>
      </w:tblGrid>
      <w:tr>
        <w:trPr>
          <w:tblHeader w:val="true"/>
        </w:trPr>
        <w:tc>
          <w:tcPr>
            <w:tcW w:w="790" w:type="dxa"/>
            <w:tcBorders/>
            <w:vAlign w:val="center"/>
          </w:tcPr>
          <w:p>
            <w:pPr>
              <w:pStyle w:val="TableHeading"/>
              <w:suppressLineNumbers/>
              <w:bidi w:val="0"/>
              <w:jc w:val="center"/>
              <w:rPr/>
            </w:pPr>
            <w:r>
              <w:rPr/>
              <w:t>Top-K</w:t>
            </w:r>
          </w:p>
        </w:tc>
        <w:tc>
          <w:tcPr>
            <w:tcW w:w="1022" w:type="dxa"/>
            <w:tcBorders/>
            <w:vAlign w:val="center"/>
          </w:tcPr>
          <w:p>
            <w:pPr>
              <w:pStyle w:val="TableHeading"/>
              <w:suppressLineNumbers/>
              <w:bidi w:val="0"/>
              <w:jc w:val="center"/>
              <w:rPr/>
            </w:pPr>
            <w:r>
              <w:rPr/>
              <w:t>Return</w:t>
            </w:r>
          </w:p>
        </w:tc>
        <w:tc>
          <w:tcPr>
            <w:tcW w:w="1021" w:type="dxa"/>
            <w:tcBorders/>
            <w:vAlign w:val="center"/>
          </w:tcPr>
          <w:p>
            <w:pPr>
              <w:pStyle w:val="TableHeading"/>
              <w:suppressLineNumbers/>
              <w:bidi w:val="0"/>
              <w:jc w:val="center"/>
              <w:rPr/>
            </w:pPr>
            <w:r>
              <w:rPr/>
              <w:t>CAGR</w:t>
            </w:r>
          </w:p>
        </w:tc>
        <w:tc>
          <w:tcPr>
            <w:tcW w:w="839" w:type="dxa"/>
            <w:tcBorders/>
            <w:vAlign w:val="center"/>
          </w:tcPr>
          <w:p>
            <w:pPr>
              <w:pStyle w:val="TableHeading"/>
              <w:suppressLineNumbers/>
              <w:bidi w:val="0"/>
              <w:jc w:val="center"/>
              <w:rPr/>
            </w:pPr>
            <w:r>
              <w:rPr/>
              <w:t>Sharpe</w:t>
            </w:r>
          </w:p>
        </w:tc>
        <w:tc>
          <w:tcPr>
            <w:tcW w:w="866" w:type="dxa"/>
            <w:tcBorders/>
            <w:vAlign w:val="center"/>
          </w:tcPr>
          <w:p>
            <w:pPr>
              <w:pStyle w:val="TableHeading"/>
              <w:suppressLineNumbers/>
              <w:bidi w:val="0"/>
              <w:jc w:val="center"/>
              <w:rPr/>
            </w:pPr>
            <w:r>
              <w:rPr/>
              <w:t>Sortino</w:t>
            </w:r>
          </w:p>
        </w:tc>
        <w:tc>
          <w:tcPr>
            <w:tcW w:w="979" w:type="dxa"/>
            <w:tcBorders/>
            <w:vAlign w:val="center"/>
          </w:tcPr>
          <w:p>
            <w:pPr>
              <w:pStyle w:val="TableHeading"/>
              <w:suppressLineNumbers/>
              <w:bidi w:val="0"/>
              <w:jc w:val="center"/>
              <w:rPr/>
            </w:pPr>
            <w:r>
              <w:rPr/>
              <w:t>Hit Rate</w:t>
            </w:r>
          </w:p>
        </w:tc>
        <w:tc>
          <w:tcPr>
            <w:tcW w:w="1023" w:type="dxa"/>
            <w:tcBorders/>
            <w:vAlign w:val="center"/>
          </w:tcPr>
          <w:p>
            <w:pPr>
              <w:pStyle w:val="TableHeading"/>
              <w:suppressLineNumbers/>
              <w:bidi w:val="0"/>
              <w:jc w:val="center"/>
              <w:rPr/>
            </w:pPr>
            <w:r>
              <w:rPr/>
              <w:t>Max DD</w:t>
            </w:r>
          </w:p>
        </w:tc>
      </w:tr>
      <w:tr>
        <w:trPr/>
        <w:tc>
          <w:tcPr>
            <w:tcW w:w="790" w:type="dxa"/>
            <w:tcBorders/>
            <w:vAlign w:val="center"/>
          </w:tcPr>
          <w:p>
            <w:pPr>
              <w:pStyle w:val="TableContents"/>
              <w:widowControl w:val="false"/>
              <w:suppressLineNumbers/>
              <w:bidi w:val="0"/>
              <w:jc w:val="start"/>
              <w:rPr/>
            </w:pPr>
            <w:r>
              <w:rPr/>
              <w:t>Top 1</w:t>
            </w:r>
          </w:p>
        </w:tc>
        <w:tc>
          <w:tcPr>
            <w:tcW w:w="1022" w:type="dxa"/>
            <w:tcBorders/>
            <w:vAlign w:val="center"/>
          </w:tcPr>
          <w:p>
            <w:pPr>
              <w:pStyle w:val="TableContents"/>
              <w:widowControl w:val="false"/>
              <w:suppressLineNumbers/>
              <w:bidi w:val="0"/>
              <w:jc w:val="start"/>
              <w:rPr/>
            </w:pPr>
            <w:r>
              <w:rPr/>
              <w:t>+24.86%</w:t>
            </w:r>
          </w:p>
        </w:tc>
        <w:tc>
          <w:tcPr>
            <w:tcW w:w="1021" w:type="dxa"/>
            <w:tcBorders/>
            <w:vAlign w:val="center"/>
          </w:tcPr>
          <w:p>
            <w:pPr>
              <w:pStyle w:val="TableContents"/>
              <w:widowControl w:val="false"/>
              <w:suppressLineNumbers/>
              <w:bidi w:val="0"/>
              <w:jc w:val="start"/>
              <w:rPr/>
            </w:pPr>
            <w:r>
              <w:rPr/>
              <w:t>+14.62%</w:t>
            </w:r>
          </w:p>
        </w:tc>
        <w:tc>
          <w:tcPr>
            <w:tcW w:w="839" w:type="dxa"/>
            <w:tcBorders/>
            <w:vAlign w:val="center"/>
          </w:tcPr>
          <w:p>
            <w:pPr>
              <w:pStyle w:val="TableContents"/>
              <w:widowControl w:val="false"/>
              <w:suppressLineNumbers/>
              <w:bidi w:val="0"/>
              <w:jc w:val="start"/>
              <w:rPr/>
            </w:pPr>
            <w:r>
              <w:rPr/>
              <w:t>0.606</w:t>
            </w:r>
          </w:p>
        </w:tc>
        <w:tc>
          <w:tcPr>
            <w:tcW w:w="866" w:type="dxa"/>
            <w:tcBorders/>
            <w:vAlign w:val="center"/>
          </w:tcPr>
          <w:p>
            <w:pPr>
              <w:pStyle w:val="TableContents"/>
              <w:widowControl w:val="false"/>
              <w:suppressLineNumbers/>
              <w:bidi w:val="0"/>
              <w:jc w:val="start"/>
              <w:rPr/>
            </w:pPr>
            <w:r>
              <w:rPr/>
              <w:t>0.982</w:t>
            </w:r>
          </w:p>
        </w:tc>
        <w:tc>
          <w:tcPr>
            <w:tcW w:w="979" w:type="dxa"/>
            <w:tcBorders/>
            <w:vAlign w:val="center"/>
          </w:tcPr>
          <w:p>
            <w:pPr>
              <w:pStyle w:val="TableContents"/>
              <w:widowControl w:val="false"/>
              <w:suppressLineNumbers/>
              <w:bidi w:val="0"/>
              <w:jc w:val="start"/>
              <w:rPr/>
            </w:pPr>
            <w:r>
              <w:rPr/>
              <w:t>57.32%</w:t>
            </w:r>
          </w:p>
        </w:tc>
        <w:tc>
          <w:tcPr>
            <w:tcW w:w="1023" w:type="dxa"/>
            <w:tcBorders/>
            <w:vAlign w:val="center"/>
          </w:tcPr>
          <w:p>
            <w:pPr>
              <w:pStyle w:val="TableContents"/>
              <w:widowControl w:val="false"/>
              <w:suppressLineNumbers/>
              <w:bidi w:val="0"/>
              <w:jc w:val="start"/>
              <w:rPr/>
            </w:pPr>
            <w:r>
              <w:rPr/>
              <w:t>-29.66%</w:t>
            </w:r>
          </w:p>
        </w:tc>
      </w:tr>
      <w:tr>
        <w:trPr/>
        <w:tc>
          <w:tcPr>
            <w:tcW w:w="790" w:type="dxa"/>
            <w:tcBorders/>
            <w:vAlign w:val="center"/>
          </w:tcPr>
          <w:p>
            <w:pPr>
              <w:pStyle w:val="TableContents"/>
              <w:widowControl w:val="false"/>
              <w:suppressLineNumbers/>
              <w:bidi w:val="0"/>
              <w:jc w:val="start"/>
              <w:rPr/>
            </w:pPr>
            <w:r>
              <w:rPr>
                <w:rStyle w:val="Strong"/>
              </w:rPr>
              <w:t>Top 3</w:t>
            </w:r>
          </w:p>
        </w:tc>
        <w:tc>
          <w:tcPr>
            <w:tcW w:w="1022" w:type="dxa"/>
            <w:tcBorders/>
            <w:vAlign w:val="center"/>
          </w:tcPr>
          <w:p>
            <w:pPr>
              <w:pStyle w:val="TableContents"/>
              <w:widowControl w:val="false"/>
              <w:suppressLineNumbers/>
              <w:bidi w:val="0"/>
              <w:jc w:val="start"/>
              <w:rPr/>
            </w:pPr>
            <w:r>
              <w:rPr>
                <w:rStyle w:val="Strong"/>
              </w:rPr>
              <w:t>+23.64%</w:t>
            </w:r>
          </w:p>
        </w:tc>
        <w:tc>
          <w:tcPr>
            <w:tcW w:w="1021" w:type="dxa"/>
            <w:tcBorders/>
            <w:vAlign w:val="center"/>
          </w:tcPr>
          <w:p>
            <w:pPr>
              <w:pStyle w:val="TableContents"/>
              <w:widowControl w:val="false"/>
              <w:suppressLineNumbers/>
              <w:bidi w:val="0"/>
              <w:jc w:val="start"/>
              <w:rPr/>
            </w:pPr>
            <w:r>
              <w:rPr>
                <w:rStyle w:val="Strong"/>
              </w:rPr>
              <w:t>+13.93%</w:t>
            </w:r>
          </w:p>
        </w:tc>
        <w:tc>
          <w:tcPr>
            <w:tcW w:w="839" w:type="dxa"/>
            <w:tcBorders/>
            <w:vAlign w:val="center"/>
          </w:tcPr>
          <w:p>
            <w:pPr>
              <w:pStyle w:val="TableContents"/>
              <w:widowControl w:val="false"/>
              <w:suppressLineNumbers/>
              <w:bidi w:val="0"/>
              <w:jc w:val="start"/>
              <w:rPr/>
            </w:pPr>
            <w:r>
              <w:rPr>
                <w:rStyle w:val="Strong"/>
              </w:rPr>
              <w:t>0.813</w:t>
            </w:r>
          </w:p>
        </w:tc>
        <w:tc>
          <w:tcPr>
            <w:tcW w:w="866" w:type="dxa"/>
            <w:tcBorders/>
            <w:vAlign w:val="center"/>
          </w:tcPr>
          <w:p>
            <w:pPr>
              <w:pStyle w:val="TableContents"/>
              <w:widowControl w:val="false"/>
              <w:suppressLineNumbers/>
              <w:bidi w:val="0"/>
              <w:jc w:val="start"/>
              <w:rPr/>
            </w:pPr>
            <w:r>
              <w:rPr>
                <w:rStyle w:val="Strong"/>
              </w:rPr>
              <w:t>1.450</w:t>
            </w:r>
          </w:p>
        </w:tc>
        <w:tc>
          <w:tcPr>
            <w:tcW w:w="979" w:type="dxa"/>
            <w:tcBorders/>
            <w:vAlign w:val="center"/>
          </w:tcPr>
          <w:p>
            <w:pPr>
              <w:pStyle w:val="TableContents"/>
              <w:widowControl w:val="false"/>
              <w:suppressLineNumbers/>
              <w:bidi w:val="0"/>
              <w:jc w:val="start"/>
              <w:rPr/>
            </w:pPr>
            <w:r>
              <w:rPr/>
              <w:t>51.22%</w:t>
            </w:r>
          </w:p>
        </w:tc>
        <w:tc>
          <w:tcPr>
            <w:tcW w:w="1023" w:type="dxa"/>
            <w:tcBorders/>
            <w:vAlign w:val="center"/>
          </w:tcPr>
          <w:p>
            <w:pPr>
              <w:pStyle w:val="TableContents"/>
              <w:widowControl w:val="false"/>
              <w:suppressLineNumbers/>
              <w:bidi w:val="0"/>
              <w:jc w:val="start"/>
              <w:rPr/>
            </w:pPr>
            <w:r>
              <w:rPr/>
              <w:t>-11.09%</w:t>
            </w:r>
          </w:p>
        </w:tc>
      </w:tr>
      <w:tr>
        <w:trPr/>
        <w:tc>
          <w:tcPr>
            <w:tcW w:w="790" w:type="dxa"/>
            <w:tcBorders/>
            <w:vAlign w:val="center"/>
          </w:tcPr>
          <w:p>
            <w:pPr>
              <w:pStyle w:val="TableContents"/>
              <w:widowControl w:val="false"/>
              <w:suppressLineNumbers/>
              <w:bidi w:val="0"/>
              <w:jc w:val="start"/>
              <w:rPr/>
            </w:pPr>
            <w:r>
              <w:rPr/>
              <w:t>Top 5</w:t>
            </w:r>
          </w:p>
        </w:tc>
        <w:tc>
          <w:tcPr>
            <w:tcW w:w="1022" w:type="dxa"/>
            <w:tcBorders/>
            <w:vAlign w:val="center"/>
          </w:tcPr>
          <w:p>
            <w:pPr>
              <w:pStyle w:val="TableContents"/>
              <w:widowControl w:val="false"/>
              <w:suppressLineNumbers/>
              <w:bidi w:val="0"/>
              <w:jc w:val="start"/>
              <w:rPr/>
            </w:pPr>
            <w:r>
              <w:rPr/>
              <w:t>+5.02%</w:t>
            </w:r>
          </w:p>
        </w:tc>
        <w:tc>
          <w:tcPr>
            <w:tcW w:w="1021" w:type="dxa"/>
            <w:tcBorders/>
            <w:vAlign w:val="center"/>
          </w:tcPr>
          <w:p>
            <w:pPr>
              <w:pStyle w:val="TableContents"/>
              <w:widowControl w:val="false"/>
              <w:suppressLineNumbers/>
              <w:bidi w:val="0"/>
              <w:jc w:val="start"/>
              <w:rPr/>
            </w:pPr>
            <w:r>
              <w:rPr/>
              <w:t>+3.05%</w:t>
            </w:r>
          </w:p>
        </w:tc>
        <w:tc>
          <w:tcPr>
            <w:tcW w:w="839" w:type="dxa"/>
            <w:tcBorders/>
            <w:vAlign w:val="center"/>
          </w:tcPr>
          <w:p>
            <w:pPr>
              <w:pStyle w:val="TableContents"/>
              <w:widowControl w:val="false"/>
              <w:suppressLineNumbers/>
              <w:bidi w:val="0"/>
              <w:jc w:val="start"/>
              <w:rPr/>
            </w:pPr>
            <w:r>
              <w:rPr/>
              <w:t>0.267</w:t>
            </w:r>
          </w:p>
        </w:tc>
        <w:tc>
          <w:tcPr>
            <w:tcW w:w="866" w:type="dxa"/>
            <w:tcBorders/>
            <w:vAlign w:val="center"/>
          </w:tcPr>
          <w:p>
            <w:pPr>
              <w:pStyle w:val="TableContents"/>
              <w:widowControl w:val="false"/>
              <w:suppressLineNumbers/>
              <w:bidi w:val="0"/>
              <w:jc w:val="start"/>
              <w:rPr/>
            </w:pPr>
            <w:r>
              <w:rPr/>
              <w:t>0.431</w:t>
            </w:r>
          </w:p>
        </w:tc>
        <w:tc>
          <w:tcPr>
            <w:tcW w:w="979" w:type="dxa"/>
            <w:tcBorders/>
            <w:vAlign w:val="center"/>
          </w:tcPr>
          <w:p>
            <w:pPr>
              <w:pStyle w:val="TableContents"/>
              <w:widowControl w:val="false"/>
              <w:suppressLineNumbers/>
              <w:bidi w:val="0"/>
              <w:jc w:val="start"/>
              <w:rPr/>
            </w:pPr>
            <w:r>
              <w:rPr/>
              <w:t>53.66%</w:t>
            </w:r>
          </w:p>
        </w:tc>
        <w:tc>
          <w:tcPr>
            <w:tcW w:w="1023" w:type="dxa"/>
            <w:tcBorders/>
            <w:vAlign w:val="center"/>
          </w:tcPr>
          <w:p>
            <w:pPr>
              <w:pStyle w:val="TableContents"/>
              <w:widowControl w:val="false"/>
              <w:suppressLineNumbers/>
              <w:bidi w:val="0"/>
              <w:jc w:val="start"/>
              <w:rPr/>
            </w:pPr>
            <w:r>
              <w:rPr/>
              <w:t>-12.65%</w:t>
            </w:r>
          </w:p>
        </w:tc>
      </w:tr>
      <w:tr>
        <w:trPr/>
        <w:tc>
          <w:tcPr>
            <w:tcW w:w="790" w:type="dxa"/>
            <w:tcBorders/>
            <w:vAlign w:val="center"/>
          </w:tcPr>
          <w:p>
            <w:pPr>
              <w:pStyle w:val="TableContents"/>
              <w:widowControl w:val="false"/>
              <w:suppressLineNumbers/>
              <w:bidi w:val="0"/>
              <w:jc w:val="start"/>
              <w:rPr/>
            </w:pPr>
            <w:r>
              <w:rPr/>
              <w:t>Top 10</w:t>
            </w:r>
          </w:p>
        </w:tc>
        <w:tc>
          <w:tcPr>
            <w:tcW w:w="1022" w:type="dxa"/>
            <w:tcBorders/>
            <w:vAlign w:val="center"/>
          </w:tcPr>
          <w:p>
            <w:pPr>
              <w:pStyle w:val="TableContents"/>
              <w:widowControl w:val="false"/>
              <w:suppressLineNumbers/>
              <w:bidi w:val="0"/>
              <w:jc w:val="start"/>
              <w:rPr/>
            </w:pPr>
            <w:r>
              <w:rPr/>
              <w:t>+12.74%</w:t>
            </w:r>
          </w:p>
        </w:tc>
        <w:tc>
          <w:tcPr>
            <w:tcW w:w="1021" w:type="dxa"/>
            <w:tcBorders/>
            <w:vAlign w:val="center"/>
          </w:tcPr>
          <w:p>
            <w:pPr>
              <w:pStyle w:val="TableContents"/>
              <w:widowControl w:val="false"/>
              <w:suppressLineNumbers/>
              <w:bidi w:val="0"/>
              <w:jc w:val="start"/>
              <w:rPr/>
            </w:pPr>
            <w:r>
              <w:rPr/>
              <w:t>+7.65%</w:t>
            </w:r>
          </w:p>
        </w:tc>
        <w:tc>
          <w:tcPr>
            <w:tcW w:w="839" w:type="dxa"/>
            <w:tcBorders/>
            <w:vAlign w:val="center"/>
          </w:tcPr>
          <w:p>
            <w:pPr>
              <w:pStyle w:val="TableContents"/>
              <w:widowControl w:val="false"/>
              <w:suppressLineNumbers/>
              <w:bidi w:val="0"/>
              <w:jc w:val="start"/>
              <w:rPr/>
            </w:pPr>
            <w:r>
              <w:rPr/>
              <w:t>0.603</w:t>
            </w:r>
          </w:p>
        </w:tc>
        <w:tc>
          <w:tcPr>
            <w:tcW w:w="866" w:type="dxa"/>
            <w:tcBorders/>
            <w:vAlign w:val="center"/>
          </w:tcPr>
          <w:p>
            <w:pPr>
              <w:pStyle w:val="TableContents"/>
              <w:widowControl w:val="false"/>
              <w:suppressLineNumbers/>
              <w:bidi w:val="0"/>
              <w:jc w:val="start"/>
              <w:rPr/>
            </w:pPr>
            <w:r>
              <w:rPr/>
              <w:t>1.076</w:t>
            </w:r>
          </w:p>
        </w:tc>
        <w:tc>
          <w:tcPr>
            <w:tcW w:w="979" w:type="dxa"/>
            <w:tcBorders/>
            <w:vAlign w:val="center"/>
          </w:tcPr>
          <w:p>
            <w:pPr>
              <w:pStyle w:val="TableContents"/>
              <w:widowControl w:val="false"/>
              <w:suppressLineNumbers/>
              <w:bidi w:val="0"/>
              <w:jc w:val="start"/>
              <w:rPr/>
            </w:pPr>
            <w:r>
              <w:rPr/>
              <w:t>48.78%</w:t>
            </w:r>
          </w:p>
        </w:tc>
        <w:tc>
          <w:tcPr>
            <w:tcW w:w="1023" w:type="dxa"/>
            <w:tcBorders/>
            <w:vAlign w:val="center"/>
          </w:tcPr>
          <w:p>
            <w:pPr>
              <w:pStyle w:val="TableContents"/>
              <w:widowControl w:val="false"/>
              <w:suppressLineNumbers/>
              <w:bidi w:val="0"/>
              <w:jc w:val="start"/>
              <w:rPr/>
            </w:pPr>
            <w:r>
              <w:rPr>
                <w:rStyle w:val="Strong"/>
              </w:rPr>
              <w:t>-9.10%</w:t>
            </w:r>
          </w:p>
        </w:tc>
      </w:tr>
    </w:tbl>
    <w:p>
      <w:pPr>
        <w:pStyle w:val="BodyText"/>
        <w:bidi w:val="0"/>
        <w:jc w:val="start"/>
        <w:rPr/>
      </w:pPr>
      <w:r>
        <w:rPr/>
        <w:t>Momentum was useful, but again the optimal Top-K was not consistent.</w:t>
      </w:r>
    </w:p>
    <w:p>
      <w:pPr>
        <w:pStyle w:val="HorizontalLine"/>
        <w:bidi w:val="0"/>
        <w:jc w:val="start"/>
        <w:rPr/>
      </w:pPr>
      <w:r>
        <w:rPr/>
      </w:r>
    </w:p>
    <w:p>
      <w:pPr>
        <w:pStyle w:val="Heading1"/>
        <w:bidi w:val="0"/>
        <w:jc w:val="start"/>
        <w:rPr/>
      </w:pPr>
      <w:r>
        <w:rPr/>
        <w:t>9. Model 4 — TCN</w:t>
      </w:r>
    </w:p>
    <w:p>
      <w:pPr>
        <w:pStyle w:val="BodyText"/>
        <w:bidi w:val="0"/>
        <w:jc w:val="start"/>
        <w:rPr/>
      </w:pPr>
      <w:r>
        <w:rPr/>
        <w:t>This is the strongest model in Experiment 1.</w:t>
      </w:r>
    </w:p>
    <w:p>
      <w:pPr>
        <w:pStyle w:val="BodyText"/>
        <w:bidi w:val="0"/>
        <w:jc w:val="start"/>
        <w:rPr/>
      </w:pPr>
      <w:r>
        <w:rPr/>
        <w:t xml:space="preserve">You used a </w:t>
      </w:r>
      <w:r>
        <w:rPr>
          <w:rStyle w:val="Strong"/>
        </w:rPr>
        <w:t>Temporal Convolutional Network (TCN)</w:t>
      </w:r>
      <w:r>
        <w:rPr/>
        <w:t>.</w:t>
      </w:r>
    </w:p>
    <w:p>
      <w:pPr>
        <w:pStyle w:val="BodyText"/>
        <w:bidi w:val="0"/>
        <w:jc w:val="start"/>
        <w:rPr/>
      </w:pPr>
      <w:r>
        <w:rPr/>
        <w:t>The purpose of TCN is to learn temporal patterns from historical sequences rather than treating each stock/date as an independent tabular row.</w:t>
      </w:r>
    </w:p>
    <w:p>
      <w:pPr>
        <w:pStyle w:val="BodyText"/>
        <w:bidi w:val="0"/>
        <w:jc w:val="start"/>
        <w:rPr/>
      </w:pPr>
      <w:r>
        <w:rPr/>
        <w:t>Conceptually:</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16" w:name="code-block-viewer_Copy_16"/>
      <w:bookmarkEnd w:id="16"/>
      <w:r>
        <w:rPr>
          <w:rStyle w:val="SourceText"/>
        </w:rPr>
        <w:t>t-20  t-19 ... t-2  t-1  t</w:t>
      </w:r>
    </w:p>
    <w:p>
      <w:pPr>
        <w:pStyle w:val="PreformattedText"/>
        <w:bidi w:val="0"/>
        <w:jc w:val="start"/>
        <w:rPr/>
      </w:pPr>
      <w:r>
        <w:rPr>
          <w:rStyle w:val="SourceText"/>
        </w:rPr>
        <w:t xml:space="preserve"> │     │          │    │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TCN</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predicted score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The checkpoint loaded successfully and inference ran on CUDA.</w:t>
      </w:r>
    </w:p>
    <w:p>
      <w:pPr>
        <w:pStyle w:val="BodyText"/>
        <w:bidi w:val="0"/>
        <w:jc w:val="start"/>
        <w:rPr/>
      </w:pPr>
      <w:r>
        <w:rPr/>
        <w:t>It generated:</w:t>
      </w:r>
    </w:p>
    <w:p>
      <w:pPr>
        <w:pStyle w:val="BlockQuotationuser"/>
        <w:bidi w:val="0"/>
        <w:jc w:val="start"/>
        <w:rPr/>
      </w:pPr>
      <w:r>
        <w:rPr>
          <w:rStyle w:val="Strong"/>
        </w:rPr>
        <w:t>186,934 / 189,825 valid predictions</w:t>
      </w:r>
    </w:p>
    <w:p>
      <w:pPr>
        <w:pStyle w:val="BodyText"/>
        <w:bidi w:val="0"/>
        <w:jc w:val="start"/>
        <w:rPr/>
      </w:pPr>
      <w:r>
        <w:rPr/>
        <w:t>before the test subset was extracted.</w:t>
      </w:r>
    </w:p>
    <w:p>
      <w:pPr>
        <w:pStyle w:val="BodyText"/>
        <w:bidi w:val="0"/>
        <w:jc w:val="start"/>
        <w:rPr/>
      </w:pPr>
      <w:r>
        <w:rPr/>
        <w:t>On the final test set:</w:t>
      </w:r>
    </w:p>
    <w:p>
      <w:pPr>
        <w:pStyle w:val="BlockQuotationuser"/>
        <w:bidi w:val="0"/>
        <w:jc w:val="start"/>
        <w:rPr/>
      </w:pPr>
      <w:r>
        <w:rPr>
          <w:rStyle w:val="Strong"/>
        </w:rPr>
        <w:t>19,937 / 19,937 valid TCN scores</w:t>
      </w:r>
    </w:p>
    <w:p>
      <w:pPr>
        <w:pStyle w:val="Heading3"/>
        <w:bidi w:val="0"/>
        <w:jc w:val="start"/>
        <w:rPr/>
      </w:pPr>
      <w:r>
        <w:rPr/>
        <w:t>Results</w:t>
      </w:r>
    </w:p>
    <w:tbl>
      <w:tblPr>
        <w:tblW w:w="6529" w:type="dxa"/>
        <w:jc w:val="start"/>
        <w:tblInd w:w="0" w:type="dxa"/>
        <w:tblLayout w:type="fixed"/>
        <w:tblCellMar>
          <w:top w:w="28" w:type="dxa"/>
          <w:start w:w="28" w:type="dxa"/>
          <w:bottom w:w="28" w:type="dxa"/>
          <w:end w:w="28" w:type="dxa"/>
        </w:tblCellMar>
      </w:tblPr>
      <w:tblGrid>
        <w:gridCol w:w="778"/>
        <w:gridCol w:w="1022"/>
        <w:gridCol w:w="1023"/>
        <w:gridCol w:w="839"/>
        <w:gridCol w:w="865"/>
        <w:gridCol w:w="978"/>
        <w:gridCol w:w="1024"/>
      </w:tblGrid>
      <w:tr>
        <w:trPr>
          <w:tblHeader w:val="true"/>
        </w:trPr>
        <w:tc>
          <w:tcPr>
            <w:tcW w:w="778" w:type="dxa"/>
            <w:tcBorders/>
            <w:vAlign w:val="center"/>
          </w:tcPr>
          <w:p>
            <w:pPr>
              <w:pStyle w:val="TableHeading"/>
              <w:suppressLineNumbers/>
              <w:bidi w:val="0"/>
              <w:jc w:val="center"/>
              <w:rPr/>
            </w:pPr>
            <w:r>
              <w:rPr/>
              <w:t>Top-K</w:t>
            </w:r>
          </w:p>
        </w:tc>
        <w:tc>
          <w:tcPr>
            <w:tcW w:w="1022" w:type="dxa"/>
            <w:tcBorders/>
            <w:vAlign w:val="center"/>
          </w:tcPr>
          <w:p>
            <w:pPr>
              <w:pStyle w:val="TableHeading"/>
              <w:suppressLineNumbers/>
              <w:bidi w:val="0"/>
              <w:jc w:val="center"/>
              <w:rPr/>
            </w:pPr>
            <w:r>
              <w:rPr/>
              <w:t>Return</w:t>
            </w:r>
          </w:p>
        </w:tc>
        <w:tc>
          <w:tcPr>
            <w:tcW w:w="1023" w:type="dxa"/>
            <w:tcBorders/>
            <w:vAlign w:val="center"/>
          </w:tcPr>
          <w:p>
            <w:pPr>
              <w:pStyle w:val="TableHeading"/>
              <w:suppressLineNumbers/>
              <w:bidi w:val="0"/>
              <w:jc w:val="center"/>
              <w:rPr/>
            </w:pPr>
            <w:r>
              <w:rPr/>
              <w:t>CAGR</w:t>
            </w:r>
          </w:p>
        </w:tc>
        <w:tc>
          <w:tcPr>
            <w:tcW w:w="839" w:type="dxa"/>
            <w:tcBorders/>
            <w:vAlign w:val="center"/>
          </w:tcPr>
          <w:p>
            <w:pPr>
              <w:pStyle w:val="TableHeading"/>
              <w:suppressLineNumbers/>
              <w:bidi w:val="0"/>
              <w:jc w:val="center"/>
              <w:rPr/>
            </w:pPr>
            <w:r>
              <w:rPr/>
              <w:t>Sharpe</w:t>
            </w:r>
          </w:p>
        </w:tc>
        <w:tc>
          <w:tcPr>
            <w:tcW w:w="865" w:type="dxa"/>
            <w:tcBorders/>
            <w:vAlign w:val="center"/>
          </w:tcPr>
          <w:p>
            <w:pPr>
              <w:pStyle w:val="TableHeading"/>
              <w:suppressLineNumbers/>
              <w:bidi w:val="0"/>
              <w:jc w:val="center"/>
              <w:rPr/>
            </w:pPr>
            <w:r>
              <w:rPr/>
              <w:t>Sortino</w:t>
            </w:r>
          </w:p>
        </w:tc>
        <w:tc>
          <w:tcPr>
            <w:tcW w:w="978" w:type="dxa"/>
            <w:tcBorders/>
            <w:vAlign w:val="center"/>
          </w:tcPr>
          <w:p>
            <w:pPr>
              <w:pStyle w:val="TableHeading"/>
              <w:suppressLineNumbers/>
              <w:bidi w:val="0"/>
              <w:jc w:val="center"/>
              <w:rPr/>
            </w:pPr>
            <w:r>
              <w:rPr/>
              <w:t>Hit Rate</w:t>
            </w:r>
          </w:p>
        </w:tc>
        <w:tc>
          <w:tcPr>
            <w:tcW w:w="1024" w:type="dxa"/>
            <w:tcBorders/>
            <w:vAlign w:val="center"/>
          </w:tcPr>
          <w:p>
            <w:pPr>
              <w:pStyle w:val="TableHeading"/>
              <w:suppressLineNumbers/>
              <w:bidi w:val="0"/>
              <w:jc w:val="center"/>
              <w:rPr/>
            </w:pPr>
            <w:r>
              <w:rPr/>
              <w:t>Max DD</w:t>
            </w:r>
          </w:p>
        </w:tc>
      </w:tr>
      <w:tr>
        <w:trPr/>
        <w:tc>
          <w:tcPr>
            <w:tcW w:w="778" w:type="dxa"/>
            <w:tcBorders/>
            <w:vAlign w:val="center"/>
          </w:tcPr>
          <w:p>
            <w:pPr>
              <w:pStyle w:val="TableContents"/>
              <w:widowControl w:val="false"/>
              <w:suppressLineNumbers/>
              <w:bidi w:val="0"/>
              <w:jc w:val="start"/>
              <w:rPr/>
            </w:pPr>
            <w:r>
              <w:rPr>
                <w:rStyle w:val="Strong"/>
              </w:rPr>
              <w:t>1</w:t>
            </w:r>
          </w:p>
        </w:tc>
        <w:tc>
          <w:tcPr>
            <w:tcW w:w="1022" w:type="dxa"/>
            <w:tcBorders/>
            <w:vAlign w:val="center"/>
          </w:tcPr>
          <w:p>
            <w:pPr>
              <w:pStyle w:val="TableContents"/>
              <w:widowControl w:val="false"/>
              <w:suppressLineNumbers/>
              <w:bidi w:val="0"/>
              <w:jc w:val="start"/>
              <w:rPr/>
            </w:pPr>
            <w:r>
              <w:rPr>
                <w:rStyle w:val="Strong"/>
              </w:rPr>
              <w:t>+85.10%</w:t>
            </w:r>
          </w:p>
        </w:tc>
        <w:tc>
          <w:tcPr>
            <w:tcW w:w="1023" w:type="dxa"/>
            <w:tcBorders/>
            <w:vAlign w:val="center"/>
          </w:tcPr>
          <w:p>
            <w:pPr>
              <w:pStyle w:val="TableContents"/>
              <w:widowControl w:val="false"/>
              <w:suppressLineNumbers/>
              <w:bidi w:val="0"/>
              <w:jc w:val="start"/>
              <w:rPr/>
            </w:pPr>
            <w:r>
              <w:rPr>
                <w:rStyle w:val="Strong"/>
              </w:rPr>
              <w:t>+46.00%</w:t>
            </w:r>
          </w:p>
        </w:tc>
        <w:tc>
          <w:tcPr>
            <w:tcW w:w="839" w:type="dxa"/>
            <w:tcBorders/>
            <w:vAlign w:val="center"/>
          </w:tcPr>
          <w:p>
            <w:pPr>
              <w:pStyle w:val="TableContents"/>
              <w:widowControl w:val="false"/>
              <w:suppressLineNumbers/>
              <w:bidi w:val="0"/>
              <w:jc w:val="start"/>
              <w:rPr/>
            </w:pPr>
            <w:r>
              <w:rPr>
                <w:rStyle w:val="Strong"/>
              </w:rPr>
              <w:t>1.421</w:t>
            </w:r>
          </w:p>
        </w:tc>
        <w:tc>
          <w:tcPr>
            <w:tcW w:w="865" w:type="dxa"/>
            <w:tcBorders/>
            <w:vAlign w:val="center"/>
          </w:tcPr>
          <w:p>
            <w:pPr>
              <w:pStyle w:val="TableContents"/>
              <w:widowControl w:val="false"/>
              <w:suppressLineNumbers/>
              <w:bidi w:val="0"/>
              <w:jc w:val="start"/>
              <w:rPr/>
            </w:pPr>
            <w:r>
              <w:rPr>
                <w:rStyle w:val="Strong"/>
              </w:rPr>
              <w:t>2.074</w:t>
            </w:r>
          </w:p>
        </w:tc>
        <w:tc>
          <w:tcPr>
            <w:tcW w:w="978" w:type="dxa"/>
            <w:tcBorders/>
            <w:vAlign w:val="center"/>
          </w:tcPr>
          <w:p>
            <w:pPr>
              <w:pStyle w:val="TableContents"/>
              <w:widowControl w:val="false"/>
              <w:suppressLineNumbers/>
              <w:bidi w:val="0"/>
              <w:jc w:val="start"/>
              <w:rPr/>
            </w:pPr>
            <w:r>
              <w:rPr/>
              <w:t>54.88%</w:t>
            </w:r>
          </w:p>
        </w:tc>
        <w:tc>
          <w:tcPr>
            <w:tcW w:w="1024" w:type="dxa"/>
            <w:tcBorders/>
            <w:vAlign w:val="center"/>
          </w:tcPr>
          <w:p>
            <w:pPr>
              <w:pStyle w:val="TableContents"/>
              <w:widowControl w:val="false"/>
              <w:suppressLineNumbers/>
              <w:bidi w:val="0"/>
              <w:jc w:val="start"/>
              <w:rPr/>
            </w:pPr>
            <w:r>
              <w:rPr/>
              <w:t>-25.50%</w:t>
            </w:r>
          </w:p>
        </w:tc>
      </w:tr>
      <w:tr>
        <w:trPr/>
        <w:tc>
          <w:tcPr>
            <w:tcW w:w="778" w:type="dxa"/>
            <w:tcBorders/>
            <w:vAlign w:val="center"/>
          </w:tcPr>
          <w:p>
            <w:pPr>
              <w:pStyle w:val="TableContents"/>
              <w:widowControl w:val="false"/>
              <w:suppressLineNumbers/>
              <w:bidi w:val="0"/>
              <w:jc w:val="start"/>
              <w:rPr/>
            </w:pPr>
            <w:r>
              <w:rPr/>
              <w:t>3</w:t>
            </w:r>
          </w:p>
        </w:tc>
        <w:tc>
          <w:tcPr>
            <w:tcW w:w="1022" w:type="dxa"/>
            <w:tcBorders/>
            <w:vAlign w:val="center"/>
          </w:tcPr>
          <w:p>
            <w:pPr>
              <w:pStyle w:val="TableContents"/>
              <w:widowControl w:val="false"/>
              <w:suppressLineNumbers/>
              <w:bidi w:val="0"/>
              <w:jc w:val="start"/>
              <w:rPr/>
            </w:pPr>
            <w:r>
              <w:rPr/>
              <w:t>+19.39%</w:t>
            </w:r>
          </w:p>
        </w:tc>
        <w:tc>
          <w:tcPr>
            <w:tcW w:w="1023" w:type="dxa"/>
            <w:tcBorders/>
            <w:vAlign w:val="center"/>
          </w:tcPr>
          <w:p>
            <w:pPr>
              <w:pStyle w:val="TableContents"/>
              <w:widowControl w:val="false"/>
              <w:suppressLineNumbers/>
              <w:bidi w:val="0"/>
              <w:jc w:val="start"/>
              <w:rPr/>
            </w:pPr>
            <w:r>
              <w:rPr/>
              <w:t>+11.51%</w:t>
            </w:r>
          </w:p>
        </w:tc>
        <w:tc>
          <w:tcPr>
            <w:tcW w:w="839" w:type="dxa"/>
            <w:tcBorders/>
            <w:vAlign w:val="center"/>
          </w:tcPr>
          <w:p>
            <w:pPr>
              <w:pStyle w:val="TableContents"/>
              <w:widowControl w:val="false"/>
              <w:suppressLineNumbers/>
              <w:bidi w:val="0"/>
              <w:jc w:val="start"/>
              <w:rPr/>
            </w:pPr>
            <w:r>
              <w:rPr/>
              <w:t>0.640</w:t>
            </w:r>
          </w:p>
        </w:tc>
        <w:tc>
          <w:tcPr>
            <w:tcW w:w="865" w:type="dxa"/>
            <w:tcBorders/>
            <w:vAlign w:val="center"/>
          </w:tcPr>
          <w:p>
            <w:pPr>
              <w:pStyle w:val="TableContents"/>
              <w:widowControl w:val="false"/>
              <w:suppressLineNumbers/>
              <w:bidi w:val="0"/>
              <w:jc w:val="start"/>
              <w:rPr/>
            </w:pPr>
            <w:r>
              <w:rPr/>
              <w:t>0.958</w:t>
            </w:r>
          </w:p>
        </w:tc>
        <w:tc>
          <w:tcPr>
            <w:tcW w:w="978" w:type="dxa"/>
            <w:tcBorders/>
            <w:vAlign w:val="center"/>
          </w:tcPr>
          <w:p>
            <w:pPr>
              <w:pStyle w:val="TableContents"/>
              <w:widowControl w:val="false"/>
              <w:suppressLineNumbers/>
              <w:bidi w:val="0"/>
              <w:jc w:val="start"/>
              <w:rPr/>
            </w:pPr>
            <w:r>
              <w:rPr/>
              <w:t>56.10%</w:t>
            </w:r>
          </w:p>
        </w:tc>
        <w:tc>
          <w:tcPr>
            <w:tcW w:w="1024" w:type="dxa"/>
            <w:tcBorders/>
            <w:vAlign w:val="center"/>
          </w:tcPr>
          <w:p>
            <w:pPr>
              <w:pStyle w:val="TableContents"/>
              <w:widowControl w:val="false"/>
              <w:suppressLineNumbers/>
              <w:bidi w:val="0"/>
              <w:jc w:val="start"/>
              <w:rPr/>
            </w:pPr>
            <w:r>
              <w:rPr/>
              <w:t>-25.46%</w:t>
            </w:r>
          </w:p>
        </w:tc>
      </w:tr>
      <w:tr>
        <w:trPr/>
        <w:tc>
          <w:tcPr>
            <w:tcW w:w="778" w:type="dxa"/>
            <w:tcBorders/>
            <w:vAlign w:val="center"/>
          </w:tcPr>
          <w:p>
            <w:pPr>
              <w:pStyle w:val="TableContents"/>
              <w:widowControl w:val="false"/>
              <w:suppressLineNumbers/>
              <w:bidi w:val="0"/>
              <w:jc w:val="start"/>
              <w:rPr/>
            </w:pPr>
            <w:r>
              <w:rPr/>
              <w:t>5</w:t>
            </w:r>
          </w:p>
        </w:tc>
        <w:tc>
          <w:tcPr>
            <w:tcW w:w="1022" w:type="dxa"/>
            <w:tcBorders/>
            <w:vAlign w:val="center"/>
          </w:tcPr>
          <w:p>
            <w:pPr>
              <w:pStyle w:val="TableContents"/>
              <w:widowControl w:val="false"/>
              <w:suppressLineNumbers/>
              <w:bidi w:val="0"/>
              <w:jc w:val="start"/>
              <w:rPr/>
            </w:pPr>
            <w:r>
              <w:rPr/>
              <w:t>+31.08%</w:t>
            </w:r>
          </w:p>
        </w:tc>
        <w:tc>
          <w:tcPr>
            <w:tcW w:w="1023" w:type="dxa"/>
            <w:tcBorders/>
            <w:vAlign w:val="center"/>
          </w:tcPr>
          <w:p>
            <w:pPr>
              <w:pStyle w:val="TableContents"/>
              <w:widowControl w:val="false"/>
              <w:suppressLineNumbers/>
              <w:bidi w:val="0"/>
              <w:jc w:val="start"/>
              <w:rPr/>
            </w:pPr>
            <w:r>
              <w:rPr/>
              <w:t>+18.10%</w:t>
            </w:r>
          </w:p>
        </w:tc>
        <w:tc>
          <w:tcPr>
            <w:tcW w:w="839" w:type="dxa"/>
            <w:tcBorders/>
            <w:vAlign w:val="center"/>
          </w:tcPr>
          <w:p>
            <w:pPr>
              <w:pStyle w:val="TableContents"/>
              <w:widowControl w:val="false"/>
              <w:suppressLineNumbers/>
              <w:bidi w:val="0"/>
              <w:jc w:val="start"/>
              <w:rPr/>
            </w:pPr>
            <w:r>
              <w:rPr/>
              <w:t>1.064</w:t>
            </w:r>
          </w:p>
        </w:tc>
        <w:tc>
          <w:tcPr>
            <w:tcW w:w="865" w:type="dxa"/>
            <w:tcBorders/>
            <w:vAlign w:val="center"/>
          </w:tcPr>
          <w:p>
            <w:pPr>
              <w:pStyle w:val="TableContents"/>
              <w:widowControl w:val="false"/>
              <w:suppressLineNumbers/>
              <w:bidi w:val="0"/>
              <w:jc w:val="start"/>
              <w:rPr/>
            </w:pPr>
            <w:r>
              <w:rPr/>
              <w:t>1.956</w:t>
            </w:r>
          </w:p>
        </w:tc>
        <w:tc>
          <w:tcPr>
            <w:tcW w:w="978" w:type="dxa"/>
            <w:tcBorders/>
            <w:vAlign w:val="center"/>
          </w:tcPr>
          <w:p>
            <w:pPr>
              <w:pStyle w:val="TableContents"/>
              <w:widowControl w:val="false"/>
              <w:suppressLineNumbers/>
              <w:bidi w:val="0"/>
              <w:jc w:val="start"/>
              <w:rPr/>
            </w:pPr>
            <w:r>
              <w:rPr/>
              <w:t>56.10%</w:t>
            </w:r>
          </w:p>
        </w:tc>
        <w:tc>
          <w:tcPr>
            <w:tcW w:w="1024" w:type="dxa"/>
            <w:tcBorders/>
            <w:vAlign w:val="center"/>
          </w:tcPr>
          <w:p>
            <w:pPr>
              <w:pStyle w:val="TableContents"/>
              <w:widowControl w:val="false"/>
              <w:suppressLineNumbers/>
              <w:bidi w:val="0"/>
              <w:jc w:val="start"/>
              <w:rPr/>
            </w:pPr>
            <w:r>
              <w:rPr/>
              <w:t>-12.81%</w:t>
            </w:r>
          </w:p>
        </w:tc>
      </w:tr>
      <w:tr>
        <w:trPr/>
        <w:tc>
          <w:tcPr>
            <w:tcW w:w="778" w:type="dxa"/>
            <w:tcBorders/>
            <w:vAlign w:val="center"/>
          </w:tcPr>
          <w:p>
            <w:pPr>
              <w:pStyle w:val="TableContents"/>
              <w:widowControl w:val="false"/>
              <w:suppressLineNumbers/>
              <w:bidi w:val="0"/>
              <w:jc w:val="start"/>
              <w:rPr/>
            </w:pPr>
            <w:r>
              <w:rPr>
                <w:rStyle w:val="Strong"/>
              </w:rPr>
              <w:t>10</w:t>
            </w:r>
          </w:p>
        </w:tc>
        <w:tc>
          <w:tcPr>
            <w:tcW w:w="1022" w:type="dxa"/>
            <w:tcBorders/>
            <w:vAlign w:val="center"/>
          </w:tcPr>
          <w:p>
            <w:pPr>
              <w:pStyle w:val="TableContents"/>
              <w:widowControl w:val="false"/>
              <w:suppressLineNumbers/>
              <w:bidi w:val="0"/>
              <w:jc w:val="start"/>
              <w:rPr/>
            </w:pPr>
            <w:r>
              <w:rPr>
                <w:rStyle w:val="Strong"/>
              </w:rPr>
              <w:t>+29.05%</w:t>
            </w:r>
          </w:p>
        </w:tc>
        <w:tc>
          <w:tcPr>
            <w:tcW w:w="1023" w:type="dxa"/>
            <w:tcBorders/>
            <w:vAlign w:val="center"/>
          </w:tcPr>
          <w:p>
            <w:pPr>
              <w:pStyle w:val="TableContents"/>
              <w:widowControl w:val="false"/>
              <w:suppressLineNumbers/>
              <w:bidi w:val="0"/>
              <w:jc w:val="start"/>
              <w:rPr/>
            </w:pPr>
            <w:r>
              <w:rPr>
                <w:rStyle w:val="Strong"/>
              </w:rPr>
              <w:t>+16.97%</w:t>
            </w:r>
          </w:p>
        </w:tc>
        <w:tc>
          <w:tcPr>
            <w:tcW w:w="839" w:type="dxa"/>
            <w:tcBorders/>
            <w:vAlign w:val="center"/>
          </w:tcPr>
          <w:p>
            <w:pPr>
              <w:pStyle w:val="TableContents"/>
              <w:widowControl w:val="false"/>
              <w:suppressLineNumbers/>
              <w:bidi w:val="0"/>
              <w:jc w:val="start"/>
              <w:rPr/>
            </w:pPr>
            <w:r>
              <w:rPr>
                <w:rStyle w:val="Strong"/>
              </w:rPr>
              <w:t>1.119</w:t>
            </w:r>
          </w:p>
        </w:tc>
        <w:tc>
          <w:tcPr>
            <w:tcW w:w="865" w:type="dxa"/>
            <w:tcBorders/>
            <w:vAlign w:val="center"/>
          </w:tcPr>
          <w:p>
            <w:pPr>
              <w:pStyle w:val="TableContents"/>
              <w:widowControl w:val="false"/>
              <w:suppressLineNumbers/>
              <w:bidi w:val="0"/>
              <w:jc w:val="start"/>
              <w:rPr/>
            </w:pPr>
            <w:r>
              <w:rPr>
                <w:rStyle w:val="Strong"/>
              </w:rPr>
              <w:t>2.159</w:t>
            </w:r>
          </w:p>
        </w:tc>
        <w:tc>
          <w:tcPr>
            <w:tcW w:w="978" w:type="dxa"/>
            <w:tcBorders/>
            <w:vAlign w:val="center"/>
          </w:tcPr>
          <w:p>
            <w:pPr>
              <w:pStyle w:val="TableContents"/>
              <w:widowControl w:val="false"/>
              <w:suppressLineNumbers/>
              <w:bidi w:val="0"/>
              <w:jc w:val="start"/>
              <w:rPr/>
            </w:pPr>
            <w:r>
              <w:rPr/>
              <w:t>52.44%</w:t>
            </w:r>
          </w:p>
        </w:tc>
        <w:tc>
          <w:tcPr>
            <w:tcW w:w="1024" w:type="dxa"/>
            <w:tcBorders/>
            <w:vAlign w:val="center"/>
          </w:tcPr>
          <w:p>
            <w:pPr>
              <w:pStyle w:val="TableContents"/>
              <w:widowControl w:val="false"/>
              <w:suppressLineNumbers/>
              <w:bidi w:val="0"/>
              <w:jc w:val="start"/>
              <w:rPr/>
            </w:pPr>
            <w:r>
              <w:rPr>
                <w:rStyle w:val="Strong"/>
              </w:rPr>
              <w:t>-11.64%</w:t>
            </w:r>
          </w:p>
        </w:tc>
      </w:tr>
    </w:tbl>
    <w:p>
      <w:pPr>
        <w:pStyle w:val="BodyText"/>
        <w:bidi w:val="0"/>
        <w:jc w:val="start"/>
        <w:rPr/>
      </w:pPr>
      <w:r>
        <w:rPr/>
        <w:t>This is currently your strongest model.</w:t>
      </w:r>
    </w:p>
    <w:p>
      <w:pPr>
        <w:pStyle w:val="BodyText"/>
        <w:bidi w:val="0"/>
        <w:jc w:val="start"/>
        <w:rPr/>
      </w:pPr>
      <w:r>
        <w:rPr/>
        <w:t>Especially notable:</w:t>
      </w:r>
    </w:p>
    <w:p>
      <w:pPr>
        <w:pStyle w:val="BlockQuotationuser"/>
        <w:bidi w:val="0"/>
        <w:jc w:val="start"/>
        <w:rPr/>
      </w:pPr>
      <w:r>
        <w:rPr>
          <w:rStyle w:val="Strong"/>
        </w:rPr>
        <w:t>TCN Top-1: 46% CAGR and 1.42 Sharpe</w:t>
      </w:r>
    </w:p>
    <w:p>
      <w:pPr>
        <w:pStyle w:val="BodyText"/>
        <w:bidi w:val="0"/>
        <w:jc w:val="start"/>
        <w:rPr/>
      </w:pPr>
      <w:r>
        <w:rPr/>
        <w:t>and:</w:t>
      </w:r>
    </w:p>
    <w:p>
      <w:pPr>
        <w:pStyle w:val="BlockQuotationuser"/>
        <w:bidi w:val="0"/>
        <w:jc w:val="start"/>
        <w:rPr/>
      </w:pPr>
      <w:r>
        <w:rPr>
          <w:rStyle w:val="Strong"/>
        </w:rPr>
        <w:t>TCN Top-10: 16.97% CAGR, 1.12 Sharpe and only -11.64% max drawdown.</w:t>
      </w:r>
    </w:p>
    <w:p>
      <w:pPr>
        <w:pStyle w:val="HorizontalLine"/>
        <w:bidi w:val="0"/>
        <w:jc w:val="start"/>
        <w:rPr/>
      </w:pPr>
      <w:r>
        <w:rPr/>
      </w:r>
    </w:p>
    <w:p>
      <w:pPr>
        <w:pStyle w:val="Heading1"/>
        <w:bidi w:val="0"/>
        <w:jc w:val="start"/>
        <w:rPr/>
      </w:pPr>
      <w:r>
        <w:rPr/>
        <w:t>10. Model 5 — GNN</w:t>
      </w:r>
    </w:p>
    <w:p>
      <w:pPr>
        <w:pStyle w:val="BodyText"/>
        <w:bidi w:val="0"/>
        <w:jc w:val="start"/>
        <w:rPr/>
      </w:pPr>
      <w:r>
        <w:rPr/>
        <w:t xml:space="preserve">The GNN was intended to introduce </w:t>
      </w:r>
      <w:r>
        <w:rPr>
          <w:rStyle w:val="Strong"/>
        </w:rPr>
        <w:t>relationships between stocks</w:t>
      </w:r>
      <w:r>
        <w:rPr/>
        <w:t>.</w:t>
      </w:r>
    </w:p>
    <w:p>
      <w:pPr>
        <w:pStyle w:val="BodyText"/>
        <w:bidi w:val="0"/>
        <w:jc w:val="start"/>
        <w:rPr/>
      </w:pPr>
      <w:r>
        <w:rPr/>
        <w:t>This is important because stocks aren't independent.</w:t>
      </w:r>
    </w:p>
    <w:p>
      <w:pPr>
        <w:pStyle w:val="BodyText"/>
        <w:bidi w:val="0"/>
        <w:jc w:val="start"/>
        <w:rPr/>
      </w:pPr>
      <w:r>
        <w:rPr/>
        <w:t>For example: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17" w:name="code-block-viewer_Copy_17"/>
      <w:bookmarkEnd w:id="17"/>
      <w:r>
        <w:rPr>
          <w:rStyle w:val="SourceText"/>
        </w:rPr>
        <w:t>Bank A ───── Bank B</w:t>
      </w:r>
    </w:p>
    <w:p>
      <w:pPr>
        <w:pStyle w:val="PreformattedText"/>
        <w:bidi w:val="0"/>
        <w:jc w:val="start"/>
        <w:rPr/>
      </w:pPr>
      <w:r>
        <w:rPr>
          <w:rStyle w:val="SourceText"/>
        </w:rPr>
        <w:t xml:space="preserve">  │            │</w:t>
      </w:r>
    </w:p>
    <w:p>
      <w:pPr>
        <w:pStyle w:val="PreformattedText"/>
        <w:bidi w:val="0"/>
        <w:jc w:val="start"/>
        <w:rPr/>
      </w:pPr>
      <w:r>
        <w:rPr>
          <w:rStyle w:val="SourceText"/>
        </w:rPr>
        <w:t xml:space="preserve">  │            │</w:t>
      </w:r>
    </w:p>
    <w:p>
      <w:pPr>
        <w:pStyle w:val="PreformattedText"/>
        <w:bidi w:val="0"/>
        <w:spacing w:before="0" w:after="283"/>
        <w:jc w:val="start"/>
        <w:rPr/>
      </w:pPr>
      <w:r>
        <w:rPr>
          <w:rStyle w:val="SourceText"/>
        </w:rPr>
        <w:t>Bank C ───── Bank 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The idea is that information about one company can potentially help predict another related company.</w:t>
      </w:r>
    </w:p>
    <w:p>
      <w:pPr>
        <w:pStyle w:val="BodyText"/>
        <w:bidi w:val="0"/>
        <w:jc w:val="start"/>
        <w:rPr/>
      </w:pPr>
      <w:r>
        <w:rPr/>
        <w:t>The GNN ran on CUDA.</w:t>
      </w:r>
    </w:p>
    <w:p>
      <w:pPr>
        <w:pStyle w:val="BodyText"/>
        <w:bidi w:val="0"/>
        <w:jc w:val="start"/>
        <w:rPr/>
      </w:pPr>
      <w:r>
        <w:rPr/>
        <w:t>It produced:</w:t>
      </w:r>
    </w:p>
    <w:p>
      <w:pPr>
        <w:pStyle w:val="BlockQuotationuser"/>
        <w:bidi w:val="0"/>
        <w:jc w:val="start"/>
        <w:rPr/>
      </w:pPr>
      <w:r>
        <w:rPr>
          <w:rStyle w:val="Strong"/>
        </w:rPr>
        <w:t>120,344 / 189,825 valid predictions</w:t>
      </w:r>
    </w:p>
    <w:p>
      <w:pPr>
        <w:pStyle w:val="BodyText"/>
        <w:bidi w:val="0"/>
        <w:jc w:val="start"/>
        <w:rPr/>
      </w:pPr>
      <w:r>
        <w:rPr/>
        <w:t>and:</w:t>
      </w:r>
    </w:p>
    <w:p>
      <w:pPr>
        <w:pStyle w:val="BlockQuotationuser"/>
        <w:bidi w:val="0"/>
        <w:jc w:val="start"/>
        <w:rPr/>
      </w:pPr>
      <w:r>
        <w:rPr>
          <w:rStyle w:val="Strong"/>
        </w:rPr>
        <w:t>19,845 / 19,937 valid test scores</w:t>
      </w:r>
    </w:p>
    <w:p>
      <w:pPr>
        <w:pStyle w:val="BodyText"/>
        <w:bidi w:val="0"/>
        <w:jc w:val="start"/>
        <w:rPr/>
      </w:pPr>
      <w:r>
        <w:rPr/>
        <w:t>So coverage was slightly lower than the other models.</w:t>
      </w:r>
    </w:p>
    <w:p>
      <w:pPr>
        <w:pStyle w:val="Heading3"/>
        <w:bidi w:val="0"/>
        <w:jc w:val="start"/>
        <w:rPr/>
      </w:pPr>
      <w:r>
        <w:rPr/>
        <w:t>Results</w:t>
      </w:r>
    </w:p>
    <w:tbl>
      <w:tblPr>
        <w:tblW w:w="6442" w:type="dxa"/>
        <w:jc w:val="start"/>
        <w:tblInd w:w="0" w:type="dxa"/>
        <w:tblLayout w:type="fixed"/>
        <w:tblCellMar>
          <w:top w:w="28" w:type="dxa"/>
          <w:start w:w="28" w:type="dxa"/>
          <w:bottom w:w="28" w:type="dxa"/>
          <w:end w:w="28" w:type="dxa"/>
        </w:tblCellMar>
      </w:tblPr>
      <w:tblGrid>
        <w:gridCol w:w="811"/>
        <w:gridCol w:w="1023"/>
        <w:gridCol w:w="901"/>
        <w:gridCol w:w="840"/>
        <w:gridCol w:w="866"/>
        <w:gridCol w:w="978"/>
        <w:gridCol w:w="1023"/>
      </w:tblGrid>
      <w:tr>
        <w:trPr>
          <w:tblHeader w:val="true"/>
        </w:trPr>
        <w:tc>
          <w:tcPr>
            <w:tcW w:w="811" w:type="dxa"/>
            <w:tcBorders/>
            <w:vAlign w:val="center"/>
          </w:tcPr>
          <w:p>
            <w:pPr>
              <w:pStyle w:val="TableHeading"/>
              <w:suppressLineNumbers/>
              <w:bidi w:val="0"/>
              <w:jc w:val="center"/>
              <w:rPr/>
            </w:pPr>
            <w:r>
              <w:rPr/>
              <w:t>Top-K</w:t>
            </w:r>
          </w:p>
        </w:tc>
        <w:tc>
          <w:tcPr>
            <w:tcW w:w="1023" w:type="dxa"/>
            <w:tcBorders/>
            <w:vAlign w:val="center"/>
          </w:tcPr>
          <w:p>
            <w:pPr>
              <w:pStyle w:val="TableHeading"/>
              <w:suppressLineNumbers/>
              <w:bidi w:val="0"/>
              <w:jc w:val="center"/>
              <w:rPr/>
            </w:pPr>
            <w:r>
              <w:rPr/>
              <w:t>Return</w:t>
            </w:r>
          </w:p>
        </w:tc>
        <w:tc>
          <w:tcPr>
            <w:tcW w:w="901" w:type="dxa"/>
            <w:tcBorders/>
            <w:vAlign w:val="center"/>
          </w:tcPr>
          <w:p>
            <w:pPr>
              <w:pStyle w:val="TableHeading"/>
              <w:suppressLineNumbers/>
              <w:bidi w:val="0"/>
              <w:jc w:val="center"/>
              <w:rPr/>
            </w:pPr>
            <w:r>
              <w:rPr/>
              <w:t>CAGR</w:t>
            </w:r>
          </w:p>
        </w:tc>
        <w:tc>
          <w:tcPr>
            <w:tcW w:w="840" w:type="dxa"/>
            <w:tcBorders/>
            <w:vAlign w:val="center"/>
          </w:tcPr>
          <w:p>
            <w:pPr>
              <w:pStyle w:val="TableHeading"/>
              <w:suppressLineNumbers/>
              <w:bidi w:val="0"/>
              <w:jc w:val="center"/>
              <w:rPr/>
            </w:pPr>
            <w:r>
              <w:rPr/>
              <w:t>Sharpe</w:t>
            </w:r>
          </w:p>
        </w:tc>
        <w:tc>
          <w:tcPr>
            <w:tcW w:w="866" w:type="dxa"/>
            <w:tcBorders/>
            <w:vAlign w:val="center"/>
          </w:tcPr>
          <w:p>
            <w:pPr>
              <w:pStyle w:val="TableHeading"/>
              <w:suppressLineNumbers/>
              <w:bidi w:val="0"/>
              <w:jc w:val="center"/>
              <w:rPr/>
            </w:pPr>
            <w:r>
              <w:rPr/>
              <w:t>Sortino</w:t>
            </w:r>
          </w:p>
        </w:tc>
        <w:tc>
          <w:tcPr>
            <w:tcW w:w="978" w:type="dxa"/>
            <w:tcBorders/>
            <w:vAlign w:val="center"/>
          </w:tcPr>
          <w:p>
            <w:pPr>
              <w:pStyle w:val="TableHeading"/>
              <w:suppressLineNumbers/>
              <w:bidi w:val="0"/>
              <w:jc w:val="center"/>
              <w:rPr/>
            </w:pPr>
            <w:r>
              <w:rPr/>
              <w:t>Hit Rate</w:t>
            </w:r>
          </w:p>
        </w:tc>
        <w:tc>
          <w:tcPr>
            <w:tcW w:w="1023" w:type="dxa"/>
            <w:tcBorders/>
            <w:vAlign w:val="center"/>
          </w:tcPr>
          <w:p>
            <w:pPr>
              <w:pStyle w:val="TableHeading"/>
              <w:suppressLineNumbers/>
              <w:bidi w:val="0"/>
              <w:jc w:val="center"/>
              <w:rPr/>
            </w:pPr>
            <w:r>
              <w:rPr/>
              <w:t>Max DD</w:t>
            </w:r>
          </w:p>
        </w:tc>
      </w:tr>
      <w:tr>
        <w:trPr/>
        <w:tc>
          <w:tcPr>
            <w:tcW w:w="811" w:type="dxa"/>
            <w:tcBorders/>
            <w:vAlign w:val="center"/>
          </w:tcPr>
          <w:p>
            <w:pPr>
              <w:pStyle w:val="TableContents"/>
              <w:widowControl w:val="false"/>
              <w:suppressLineNumbers/>
              <w:bidi w:val="0"/>
              <w:jc w:val="start"/>
              <w:rPr/>
            </w:pPr>
            <w:r>
              <w:rPr/>
              <w:t>Top 1</w:t>
            </w:r>
          </w:p>
        </w:tc>
        <w:tc>
          <w:tcPr>
            <w:tcW w:w="1023" w:type="dxa"/>
            <w:tcBorders/>
            <w:vAlign w:val="center"/>
          </w:tcPr>
          <w:p>
            <w:pPr>
              <w:pStyle w:val="TableContents"/>
              <w:widowControl w:val="false"/>
              <w:suppressLineNumbers/>
              <w:bidi w:val="0"/>
              <w:jc w:val="start"/>
              <w:rPr/>
            </w:pPr>
            <w:r>
              <w:rPr/>
              <w:t>-7.98%</w:t>
            </w:r>
          </w:p>
        </w:tc>
        <w:tc>
          <w:tcPr>
            <w:tcW w:w="901" w:type="dxa"/>
            <w:tcBorders/>
            <w:vAlign w:val="center"/>
          </w:tcPr>
          <w:p>
            <w:pPr>
              <w:pStyle w:val="TableContents"/>
              <w:widowControl w:val="false"/>
              <w:suppressLineNumbers/>
              <w:bidi w:val="0"/>
              <w:jc w:val="start"/>
              <w:rPr/>
            </w:pPr>
            <w:r>
              <w:rPr/>
              <w:t>-4.98%</w:t>
            </w:r>
          </w:p>
        </w:tc>
        <w:tc>
          <w:tcPr>
            <w:tcW w:w="840" w:type="dxa"/>
            <w:tcBorders/>
            <w:vAlign w:val="center"/>
          </w:tcPr>
          <w:p>
            <w:pPr>
              <w:pStyle w:val="TableContents"/>
              <w:widowControl w:val="false"/>
              <w:suppressLineNumbers/>
              <w:bidi w:val="0"/>
              <w:jc w:val="start"/>
              <w:rPr/>
            </w:pPr>
            <w:r>
              <w:rPr/>
              <w:t>-0.047</w:t>
            </w:r>
          </w:p>
        </w:tc>
        <w:tc>
          <w:tcPr>
            <w:tcW w:w="866" w:type="dxa"/>
            <w:tcBorders/>
            <w:vAlign w:val="center"/>
          </w:tcPr>
          <w:p>
            <w:pPr>
              <w:pStyle w:val="TableContents"/>
              <w:widowControl w:val="false"/>
              <w:suppressLineNumbers/>
              <w:bidi w:val="0"/>
              <w:jc w:val="start"/>
              <w:rPr/>
            </w:pPr>
            <w:r>
              <w:rPr/>
              <w:t>-0.066</w:t>
            </w:r>
          </w:p>
        </w:tc>
        <w:tc>
          <w:tcPr>
            <w:tcW w:w="978" w:type="dxa"/>
            <w:tcBorders/>
            <w:vAlign w:val="center"/>
          </w:tcPr>
          <w:p>
            <w:pPr>
              <w:pStyle w:val="TableContents"/>
              <w:widowControl w:val="false"/>
              <w:suppressLineNumbers/>
              <w:bidi w:val="0"/>
              <w:jc w:val="start"/>
              <w:rPr/>
            </w:pPr>
            <w:r>
              <w:rPr/>
              <w:t>43.90%</w:t>
            </w:r>
          </w:p>
        </w:tc>
        <w:tc>
          <w:tcPr>
            <w:tcW w:w="1023" w:type="dxa"/>
            <w:tcBorders/>
            <w:vAlign w:val="center"/>
          </w:tcPr>
          <w:p>
            <w:pPr>
              <w:pStyle w:val="TableContents"/>
              <w:widowControl w:val="false"/>
              <w:suppressLineNumbers/>
              <w:bidi w:val="0"/>
              <w:jc w:val="start"/>
              <w:rPr/>
            </w:pPr>
            <w:r>
              <w:rPr/>
              <w:t>-33.17%</w:t>
            </w:r>
          </w:p>
        </w:tc>
      </w:tr>
      <w:tr>
        <w:trPr/>
        <w:tc>
          <w:tcPr>
            <w:tcW w:w="811" w:type="dxa"/>
            <w:tcBorders/>
            <w:vAlign w:val="center"/>
          </w:tcPr>
          <w:p>
            <w:pPr>
              <w:pStyle w:val="TableContents"/>
              <w:widowControl w:val="false"/>
              <w:suppressLineNumbers/>
              <w:bidi w:val="0"/>
              <w:jc w:val="start"/>
              <w:rPr/>
            </w:pPr>
            <w:r>
              <w:rPr/>
              <w:t>Top 3</w:t>
            </w:r>
          </w:p>
        </w:tc>
        <w:tc>
          <w:tcPr>
            <w:tcW w:w="1023" w:type="dxa"/>
            <w:tcBorders/>
            <w:vAlign w:val="center"/>
          </w:tcPr>
          <w:p>
            <w:pPr>
              <w:pStyle w:val="TableContents"/>
              <w:widowControl w:val="false"/>
              <w:suppressLineNumbers/>
              <w:bidi w:val="0"/>
              <w:jc w:val="start"/>
              <w:rPr/>
            </w:pPr>
            <w:r>
              <w:rPr/>
              <w:t>-9.58%</w:t>
            </w:r>
          </w:p>
        </w:tc>
        <w:tc>
          <w:tcPr>
            <w:tcW w:w="901" w:type="dxa"/>
            <w:tcBorders/>
            <w:vAlign w:val="center"/>
          </w:tcPr>
          <w:p>
            <w:pPr>
              <w:pStyle w:val="TableContents"/>
              <w:widowControl w:val="false"/>
              <w:suppressLineNumbers/>
              <w:bidi w:val="0"/>
              <w:jc w:val="start"/>
              <w:rPr/>
            </w:pPr>
            <w:r>
              <w:rPr/>
              <w:t>-6.00%</w:t>
            </w:r>
          </w:p>
        </w:tc>
        <w:tc>
          <w:tcPr>
            <w:tcW w:w="840" w:type="dxa"/>
            <w:tcBorders/>
            <w:vAlign w:val="center"/>
          </w:tcPr>
          <w:p>
            <w:pPr>
              <w:pStyle w:val="TableContents"/>
              <w:widowControl w:val="false"/>
              <w:suppressLineNumbers/>
              <w:bidi w:val="0"/>
              <w:jc w:val="start"/>
              <w:rPr/>
            </w:pPr>
            <w:r>
              <w:rPr/>
              <w:t>-0.180</w:t>
            </w:r>
          </w:p>
        </w:tc>
        <w:tc>
          <w:tcPr>
            <w:tcW w:w="866" w:type="dxa"/>
            <w:tcBorders/>
            <w:vAlign w:val="center"/>
          </w:tcPr>
          <w:p>
            <w:pPr>
              <w:pStyle w:val="TableContents"/>
              <w:widowControl w:val="false"/>
              <w:suppressLineNumbers/>
              <w:bidi w:val="0"/>
              <w:jc w:val="start"/>
              <w:rPr/>
            </w:pPr>
            <w:r>
              <w:rPr/>
              <w:t>-0.281</w:t>
            </w:r>
          </w:p>
        </w:tc>
        <w:tc>
          <w:tcPr>
            <w:tcW w:w="978" w:type="dxa"/>
            <w:tcBorders/>
            <w:vAlign w:val="center"/>
          </w:tcPr>
          <w:p>
            <w:pPr>
              <w:pStyle w:val="TableContents"/>
              <w:widowControl w:val="false"/>
              <w:suppressLineNumbers/>
              <w:bidi w:val="0"/>
              <w:jc w:val="start"/>
              <w:rPr/>
            </w:pPr>
            <w:r>
              <w:rPr/>
              <w:t>43.90%</w:t>
            </w:r>
          </w:p>
        </w:tc>
        <w:tc>
          <w:tcPr>
            <w:tcW w:w="1023" w:type="dxa"/>
            <w:tcBorders/>
            <w:vAlign w:val="center"/>
          </w:tcPr>
          <w:p>
            <w:pPr>
              <w:pStyle w:val="TableContents"/>
              <w:widowControl w:val="false"/>
              <w:suppressLineNumbers/>
              <w:bidi w:val="0"/>
              <w:jc w:val="start"/>
              <w:rPr/>
            </w:pPr>
            <w:r>
              <w:rPr/>
              <w:t>-29.61%</w:t>
            </w:r>
          </w:p>
        </w:tc>
      </w:tr>
      <w:tr>
        <w:trPr/>
        <w:tc>
          <w:tcPr>
            <w:tcW w:w="811" w:type="dxa"/>
            <w:tcBorders/>
            <w:vAlign w:val="center"/>
          </w:tcPr>
          <w:p>
            <w:pPr>
              <w:pStyle w:val="TableContents"/>
              <w:widowControl w:val="false"/>
              <w:suppressLineNumbers/>
              <w:bidi w:val="0"/>
              <w:jc w:val="start"/>
              <w:rPr/>
            </w:pPr>
            <w:r>
              <w:rPr/>
              <w:t>Top 5</w:t>
            </w:r>
          </w:p>
        </w:tc>
        <w:tc>
          <w:tcPr>
            <w:tcW w:w="1023" w:type="dxa"/>
            <w:tcBorders/>
            <w:vAlign w:val="center"/>
          </w:tcPr>
          <w:p>
            <w:pPr>
              <w:pStyle w:val="TableContents"/>
              <w:widowControl w:val="false"/>
              <w:suppressLineNumbers/>
              <w:bidi w:val="0"/>
              <w:jc w:val="start"/>
              <w:rPr/>
            </w:pPr>
            <w:r>
              <w:rPr/>
              <w:t>+0.70%</w:t>
            </w:r>
          </w:p>
        </w:tc>
        <w:tc>
          <w:tcPr>
            <w:tcW w:w="901" w:type="dxa"/>
            <w:tcBorders/>
            <w:vAlign w:val="center"/>
          </w:tcPr>
          <w:p>
            <w:pPr>
              <w:pStyle w:val="TableContents"/>
              <w:widowControl w:val="false"/>
              <w:suppressLineNumbers/>
              <w:bidi w:val="0"/>
              <w:jc w:val="start"/>
              <w:rPr/>
            </w:pPr>
            <w:r>
              <w:rPr/>
              <w:t>+0.43%</w:t>
            </w:r>
          </w:p>
        </w:tc>
        <w:tc>
          <w:tcPr>
            <w:tcW w:w="840" w:type="dxa"/>
            <w:tcBorders/>
            <w:vAlign w:val="center"/>
          </w:tcPr>
          <w:p>
            <w:pPr>
              <w:pStyle w:val="TableContents"/>
              <w:widowControl w:val="false"/>
              <w:suppressLineNumbers/>
              <w:bidi w:val="0"/>
              <w:jc w:val="start"/>
              <w:rPr/>
            </w:pPr>
            <w:r>
              <w:rPr/>
              <w:t>0.113</w:t>
            </w:r>
          </w:p>
        </w:tc>
        <w:tc>
          <w:tcPr>
            <w:tcW w:w="866" w:type="dxa"/>
            <w:tcBorders/>
            <w:vAlign w:val="center"/>
          </w:tcPr>
          <w:p>
            <w:pPr>
              <w:pStyle w:val="TableContents"/>
              <w:widowControl w:val="false"/>
              <w:suppressLineNumbers/>
              <w:bidi w:val="0"/>
              <w:jc w:val="start"/>
              <w:rPr/>
            </w:pPr>
            <w:r>
              <w:rPr/>
              <w:t>0.210</w:t>
            </w:r>
          </w:p>
        </w:tc>
        <w:tc>
          <w:tcPr>
            <w:tcW w:w="978" w:type="dxa"/>
            <w:tcBorders/>
            <w:vAlign w:val="center"/>
          </w:tcPr>
          <w:p>
            <w:pPr>
              <w:pStyle w:val="TableContents"/>
              <w:widowControl w:val="false"/>
              <w:suppressLineNumbers/>
              <w:bidi w:val="0"/>
              <w:jc w:val="start"/>
              <w:rPr/>
            </w:pPr>
            <w:r>
              <w:rPr/>
              <w:t>48.78%</w:t>
            </w:r>
          </w:p>
        </w:tc>
        <w:tc>
          <w:tcPr>
            <w:tcW w:w="1023" w:type="dxa"/>
            <w:tcBorders/>
            <w:vAlign w:val="center"/>
          </w:tcPr>
          <w:p>
            <w:pPr>
              <w:pStyle w:val="TableContents"/>
              <w:widowControl w:val="false"/>
              <w:suppressLineNumbers/>
              <w:bidi w:val="0"/>
              <w:jc w:val="start"/>
              <w:rPr/>
            </w:pPr>
            <w:r>
              <w:rPr/>
              <w:t>-21.05%</w:t>
            </w:r>
          </w:p>
        </w:tc>
      </w:tr>
      <w:tr>
        <w:trPr/>
        <w:tc>
          <w:tcPr>
            <w:tcW w:w="811" w:type="dxa"/>
            <w:tcBorders/>
            <w:vAlign w:val="center"/>
          </w:tcPr>
          <w:p>
            <w:pPr>
              <w:pStyle w:val="TableContents"/>
              <w:widowControl w:val="false"/>
              <w:suppressLineNumbers/>
              <w:bidi w:val="0"/>
              <w:jc w:val="start"/>
              <w:rPr/>
            </w:pPr>
            <w:r>
              <w:rPr>
                <w:rStyle w:val="Strong"/>
              </w:rPr>
              <w:t>Top 10</w:t>
            </w:r>
          </w:p>
        </w:tc>
        <w:tc>
          <w:tcPr>
            <w:tcW w:w="1023" w:type="dxa"/>
            <w:tcBorders/>
            <w:vAlign w:val="center"/>
          </w:tcPr>
          <w:p>
            <w:pPr>
              <w:pStyle w:val="TableContents"/>
              <w:widowControl w:val="false"/>
              <w:suppressLineNumbers/>
              <w:bidi w:val="0"/>
              <w:jc w:val="start"/>
              <w:rPr/>
            </w:pPr>
            <w:r>
              <w:rPr>
                <w:rStyle w:val="Strong"/>
              </w:rPr>
              <w:t>+10.54%</w:t>
            </w:r>
          </w:p>
        </w:tc>
        <w:tc>
          <w:tcPr>
            <w:tcW w:w="901" w:type="dxa"/>
            <w:tcBorders/>
            <w:vAlign w:val="center"/>
          </w:tcPr>
          <w:p>
            <w:pPr>
              <w:pStyle w:val="TableContents"/>
              <w:widowControl w:val="false"/>
              <w:suppressLineNumbers/>
              <w:bidi w:val="0"/>
              <w:jc w:val="start"/>
              <w:rPr/>
            </w:pPr>
            <w:r>
              <w:rPr>
                <w:rStyle w:val="Strong"/>
              </w:rPr>
              <w:t>+6.35%</w:t>
            </w:r>
          </w:p>
        </w:tc>
        <w:tc>
          <w:tcPr>
            <w:tcW w:w="840" w:type="dxa"/>
            <w:tcBorders/>
            <w:vAlign w:val="center"/>
          </w:tcPr>
          <w:p>
            <w:pPr>
              <w:pStyle w:val="TableContents"/>
              <w:widowControl w:val="false"/>
              <w:suppressLineNumbers/>
              <w:bidi w:val="0"/>
              <w:jc w:val="start"/>
              <w:rPr/>
            </w:pPr>
            <w:r>
              <w:rPr>
                <w:rStyle w:val="Strong"/>
              </w:rPr>
              <w:t>0.448</w:t>
            </w:r>
          </w:p>
        </w:tc>
        <w:tc>
          <w:tcPr>
            <w:tcW w:w="866" w:type="dxa"/>
            <w:tcBorders/>
            <w:vAlign w:val="center"/>
          </w:tcPr>
          <w:p>
            <w:pPr>
              <w:pStyle w:val="TableContents"/>
              <w:widowControl w:val="false"/>
              <w:suppressLineNumbers/>
              <w:bidi w:val="0"/>
              <w:jc w:val="start"/>
              <w:rPr/>
            </w:pPr>
            <w:r>
              <w:rPr>
                <w:rStyle w:val="Strong"/>
              </w:rPr>
              <w:t>0.928</w:t>
            </w:r>
          </w:p>
        </w:tc>
        <w:tc>
          <w:tcPr>
            <w:tcW w:w="978" w:type="dxa"/>
            <w:tcBorders/>
            <w:vAlign w:val="center"/>
          </w:tcPr>
          <w:p>
            <w:pPr>
              <w:pStyle w:val="TableContents"/>
              <w:widowControl w:val="false"/>
              <w:suppressLineNumbers/>
              <w:bidi w:val="0"/>
              <w:jc w:val="start"/>
              <w:rPr/>
            </w:pPr>
            <w:r>
              <w:rPr/>
              <w:t>51.22%</w:t>
            </w:r>
          </w:p>
        </w:tc>
        <w:tc>
          <w:tcPr>
            <w:tcW w:w="1023" w:type="dxa"/>
            <w:tcBorders/>
            <w:vAlign w:val="center"/>
          </w:tcPr>
          <w:p>
            <w:pPr>
              <w:pStyle w:val="TableContents"/>
              <w:widowControl w:val="false"/>
              <w:suppressLineNumbers/>
              <w:bidi w:val="0"/>
              <w:jc w:val="start"/>
              <w:rPr/>
            </w:pPr>
            <w:r>
              <w:rPr/>
              <w:t>-14.20%</w:t>
            </w:r>
          </w:p>
        </w:tc>
      </w:tr>
    </w:tbl>
    <w:p>
      <w:pPr>
        <w:pStyle w:val="BodyText"/>
        <w:bidi w:val="0"/>
        <w:jc w:val="start"/>
        <w:rPr/>
      </w:pPr>
      <w:r>
        <w:rPr/>
        <w:t>The GNN is therefore the weakest component of the current system.</w:t>
      </w:r>
    </w:p>
    <w:p>
      <w:pPr>
        <w:pStyle w:val="BodyText"/>
        <w:bidi w:val="0"/>
        <w:jc w:val="start"/>
        <w:rPr/>
      </w:pPr>
      <w:r>
        <w:rPr/>
        <w:t xml:space="preserve">But this is actually a </w:t>
      </w:r>
      <w:r>
        <w:rPr>
          <w:rStyle w:val="Strong"/>
        </w:rPr>
        <w:t>research opportunity</w:t>
      </w:r>
      <w:r>
        <w:rPr/>
        <w:t>, not something we should simply discard.</w:t>
      </w:r>
    </w:p>
    <w:p>
      <w:pPr>
        <w:pStyle w:val="HorizontalLine"/>
        <w:bidi w:val="0"/>
        <w:jc w:val="start"/>
        <w:rPr/>
      </w:pPr>
      <w:r>
        <w:rPr/>
      </w:r>
    </w:p>
    <w:p>
      <w:pPr>
        <w:pStyle w:val="Heading1"/>
        <w:bidi w:val="0"/>
        <w:jc w:val="start"/>
        <w:rPr/>
      </w:pPr>
      <w:r>
        <w:rPr/>
        <w:t>11. Model 6 — Naive ensemble</w:t>
      </w:r>
    </w:p>
    <w:p>
      <w:pPr>
        <w:pStyle w:val="BodyText"/>
        <w:bidi w:val="0"/>
        <w:jc w:val="start"/>
        <w:rPr/>
      </w:pPr>
      <w:r>
        <w:rPr/>
        <w:t>The ensemble combined:</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18" w:name="code-block-viewer_Copy_18"/>
      <w:bookmarkEnd w:id="18"/>
      <w:r>
        <w:rPr>
          <w:rStyle w:val="SourceText"/>
        </w:rPr>
        <w:t>LightGBM</w:t>
      </w:r>
    </w:p>
    <w:p>
      <w:pPr>
        <w:pStyle w:val="PreformattedText"/>
        <w:bidi w:val="0"/>
        <w:jc w:val="start"/>
        <w:rPr/>
      </w:pPr>
      <w:r>
        <w:rPr>
          <w:rStyle w:val="SourceText"/>
        </w:rPr>
        <w:t>Factor</w:t>
      </w:r>
    </w:p>
    <w:p>
      <w:pPr>
        <w:pStyle w:val="PreformattedText"/>
        <w:bidi w:val="0"/>
        <w:jc w:val="start"/>
        <w:rPr/>
      </w:pPr>
      <w:r>
        <w:rPr>
          <w:rStyle w:val="SourceText"/>
        </w:rPr>
        <w:t>Momentum</w:t>
      </w:r>
    </w:p>
    <w:p>
      <w:pPr>
        <w:pStyle w:val="PreformattedText"/>
        <w:bidi w:val="0"/>
        <w:jc w:val="start"/>
        <w:rPr/>
      </w:pPr>
      <w:r>
        <w:rPr>
          <w:rStyle w:val="SourceText"/>
        </w:rPr>
        <w:t>TCN</w:t>
      </w:r>
    </w:p>
    <w:p>
      <w:pPr>
        <w:pStyle w:val="PreformattedText"/>
        <w:bidi w:val="0"/>
        <w:spacing w:before="0" w:after="283"/>
        <w:jc w:val="start"/>
        <w:rPr/>
      </w:pPr>
      <w:r>
        <w:rPr>
          <w:rStyle w:val="SourceText"/>
        </w:rPr>
        <w:t>GNN</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into:</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spacing w:before="0" w:after="283"/>
        <w:ind w:hanging="0" w:start="0" w:end="0"/>
        <w:jc w:val="start"/>
        <w:rPr/>
      </w:pPr>
      <w:bookmarkStart w:id="19" w:name="code-block-viewer_Copy_19"/>
      <w:bookmarkEnd w:id="19"/>
      <w:r>
        <w:rPr>
          <w:rStyle w:val="SourceText"/>
        </w:rPr>
        <w:t>ensemble_score</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 xml:space="preserve">The important point is that this was a </w:t>
      </w:r>
      <w:r>
        <w:rPr>
          <w:rStyle w:val="Strong"/>
        </w:rPr>
        <w:t>fixed/simple ensemble</w:t>
      </w:r>
      <w:r>
        <w:rPr/>
        <w:t>, not a sophisticated adaptive model.</w:t>
      </w:r>
    </w:p>
    <w:p>
      <w:pPr>
        <w:pStyle w:val="Heading3"/>
        <w:bidi w:val="0"/>
        <w:jc w:val="start"/>
        <w:rPr/>
      </w:pPr>
      <w:r>
        <w:rPr/>
        <w:t>Results</w:t>
      </w:r>
    </w:p>
    <w:tbl>
      <w:tblPr>
        <w:tblW w:w="6308" w:type="dxa"/>
        <w:jc w:val="start"/>
        <w:tblInd w:w="0" w:type="dxa"/>
        <w:tblLayout w:type="fixed"/>
        <w:tblCellMar>
          <w:top w:w="28" w:type="dxa"/>
          <w:start w:w="28" w:type="dxa"/>
          <w:bottom w:w="28" w:type="dxa"/>
          <w:end w:w="28" w:type="dxa"/>
        </w:tblCellMar>
      </w:tblPr>
      <w:tblGrid>
        <w:gridCol w:w="789"/>
        <w:gridCol w:w="953"/>
        <w:gridCol w:w="860"/>
        <w:gridCol w:w="839"/>
        <w:gridCol w:w="866"/>
        <w:gridCol w:w="977"/>
        <w:gridCol w:w="1024"/>
      </w:tblGrid>
      <w:tr>
        <w:trPr>
          <w:tblHeader w:val="true"/>
        </w:trPr>
        <w:tc>
          <w:tcPr>
            <w:tcW w:w="789" w:type="dxa"/>
            <w:tcBorders/>
            <w:vAlign w:val="center"/>
          </w:tcPr>
          <w:p>
            <w:pPr>
              <w:pStyle w:val="TableHeading"/>
              <w:suppressLineNumbers/>
              <w:bidi w:val="0"/>
              <w:jc w:val="center"/>
              <w:rPr/>
            </w:pPr>
            <w:r>
              <w:rPr/>
              <w:t>Top-K</w:t>
            </w:r>
          </w:p>
        </w:tc>
        <w:tc>
          <w:tcPr>
            <w:tcW w:w="953" w:type="dxa"/>
            <w:tcBorders/>
            <w:vAlign w:val="center"/>
          </w:tcPr>
          <w:p>
            <w:pPr>
              <w:pStyle w:val="TableHeading"/>
              <w:suppressLineNumbers/>
              <w:bidi w:val="0"/>
              <w:jc w:val="center"/>
              <w:rPr/>
            </w:pPr>
            <w:r>
              <w:rPr/>
              <w:t>Return</w:t>
            </w:r>
          </w:p>
        </w:tc>
        <w:tc>
          <w:tcPr>
            <w:tcW w:w="860" w:type="dxa"/>
            <w:tcBorders/>
            <w:vAlign w:val="center"/>
          </w:tcPr>
          <w:p>
            <w:pPr>
              <w:pStyle w:val="TableHeading"/>
              <w:suppressLineNumbers/>
              <w:bidi w:val="0"/>
              <w:jc w:val="center"/>
              <w:rPr/>
            </w:pPr>
            <w:r>
              <w:rPr/>
              <w:t>CAGR</w:t>
            </w:r>
          </w:p>
        </w:tc>
        <w:tc>
          <w:tcPr>
            <w:tcW w:w="839" w:type="dxa"/>
            <w:tcBorders/>
            <w:vAlign w:val="center"/>
          </w:tcPr>
          <w:p>
            <w:pPr>
              <w:pStyle w:val="TableHeading"/>
              <w:suppressLineNumbers/>
              <w:bidi w:val="0"/>
              <w:jc w:val="center"/>
              <w:rPr/>
            </w:pPr>
            <w:r>
              <w:rPr/>
              <w:t>Sharpe</w:t>
            </w:r>
          </w:p>
        </w:tc>
        <w:tc>
          <w:tcPr>
            <w:tcW w:w="866" w:type="dxa"/>
            <w:tcBorders/>
            <w:vAlign w:val="center"/>
          </w:tcPr>
          <w:p>
            <w:pPr>
              <w:pStyle w:val="TableHeading"/>
              <w:suppressLineNumbers/>
              <w:bidi w:val="0"/>
              <w:jc w:val="center"/>
              <w:rPr/>
            </w:pPr>
            <w:r>
              <w:rPr/>
              <w:t>Sortino</w:t>
            </w:r>
          </w:p>
        </w:tc>
        <w:tc>
          <w:tcPr>
            <w:tcW w:w="977" w:type="dxa"/>
            <w:tcBorders/>
            <w:vAlign w:val="center"/>
          </w:tcPr>
          <w:p>
            <w:pPr>
              <w:pStyle w:val="TableHeading"/>
              <w:suppressLineNumbers/>
              <w:bidi w:val="0"/>
              <w:jc w:val="center"/>
              <w:rPr/>
            </w:pPr>
            <w:r>
              <w:rPr/>
              <w:t>Hit Rate</w:t>
            </w:r>
          </w:p>
        </w:tc>
        <w:tc>
          <w:tcPr>
            <w:tcW w:w="1024" w:type="dxa"/>
            <w:tcBorders/>
            <w:vAlign w:val="center"/>
          </w:tcPr>
          <w:p>
            <w:pPr>
              <w:pStyle w:val="TableHeading"/>
              <w:suppressLineNumbers/>
              <w:bidi w:val="0"/>
              <w:jc w:val="center"/>
              <w:rPr/>
            </w:pPr>
            <w:r>
              <w:rPr/>
              <w:t>Max DD</w:t>
            </w:r>
          </w:p>
        </w:tc>
      </w:tr>
      <w:tr>
        <w:trPr/>
        <w:tc>
          <w:tcPr>
            <w:tcW w:w="789" w:type="dxa"/>
            <w:tcBorders/>
            <w:vAlign w:val="center"/>
          </w:tcPr>
          <w:p>
            <w:pPr>
              <w:pStyle w:val="TableContents"/>
              <w:widowControl w:val="false"/>
              <w:suppressLineNumbers/>
              <w:bidi w:val="0"/>
              <w:jc w:val="start"/>
              <w:rPr/>
            </w:pPr>
            <w:r>
              <w:rPr/>
              <w:t>Top 1</w:t>
            </w:r>
          </w:p>
        </w:tc>
        <w:tc>
          <w:tcPr>
            <w:tcW w:w="953" w:type="dxa"/>
            <w:tcBorders/>
            <w:vAlign w:val="center"/>
          </w:tcPr>
          <w:p>
            <w:pPr>
              <w:pStyle w:val="TableContents"/>
              <w:widowControl w:val="false"/>
              <w:suppressLineNumbers/>
              <w:bidi w:val="0"/>
              <w:jc w:val="start"/>
              <w:rPr/>
            </w:pPr>
            <w:r>
              <w:rPr/>
              <w:t>+8.33%</w:t>
            </w:r>
          </w:p>
        </w:tc>
        <w:tc>
          <w:tcPr>
            <w:tcW w:w="860" w:type="dxa"/>
            <w:tcBorders/>
            <w:vAlign w:val="center"/>
          </w:tcPr>
          <w:p>
            <w:pPr>
              <w:pStyle w:val="TableContents"/>
              <w:widowControl w:val="false"/>
              <w:suppressLineNumbers/>
              <w:bidi w:val="0"/>
              <w:jc w:val="start"/>
              <w:rPr/>
            </w:pPr>
            <w:r>
              <w:rPr/>
              <w:t>+5.04%</w:t>
            </w:r>
          </w:p>
        </w:tc>
        <w:tc>
          <w:tcPr>
            <w:tcW w:w="839" w:type="dxa"/>
            <w:tcBorders/>
            <w:vAlign w:val="center"/>
          </w:tcPr>
          <w:p>
            <w:pPr>
              <w:pStyle w:val="TableContents"/>
              <w:widowControl w:val="false"/>
              <w:suppressLineNumbers/>
              <w:bidi w:val="0"/>
              <w:jc w:val="start"/>
              <w:rPr/>
            </w:pPr>
            <w:r>
              <w:rPr/>
              <w:t>0.331</w:t>
            </w:r>
          </w:p>
        </w:tc>
        <w:tc>
          <w:tcPr>
            <w:tcW w:w="866" w:type="dxa"/>
            <w:tcBorders/>
            <w:vAlign w:val="center"/>
          </w:tcPr>
          <w:p>
            <w:pPr>
              <w:pStyle w:val="TableContents"/>
              <w:widowControl w:val="false"/>
              <w:suppressLineNumbers/>
              <w:bidi w:val="0"/>
              <w:jc w:val="start"/>
              <w:rPr/>
            </w:pPr>
            <w:r>
              <w:rPr/>
              <w:t>0.501</w:t>
            </w:r>
          </w:p>
        </w:tc>
        <w:tc>
          <w:tcPr>
            <w:tcW w:w="977" w:type="dxa"/>
            <w:tcBorders/>
            <w:vAlign w:val="center"/>
          </w:tcPr>
          <w:p>
            <w:pPr>
              <w:pStyle w:val="TableContents"/>
              <w:widowControl w:val="false"/>
              <w:suppressLineNumbers/>
              <w:bidi w:val="0"/>
              <w:jc w:val="start"/>
              <w:rPr/>
            </w:pPr>
            <w:r>
              <w:rPr/>
              <w:t>48.78%</w:t>
            </w:r>
          </w:p>
        </w:tc>
        <w:tc>
          <w:tcPr>
            <w:tcW w:w="1024" w:type="dxa"/>
            <w:tcBorders/>
            <w:vAlign w:val="center"/>
          </w:tcPr>
          <w:p>
            <w:pPr>
              <w:pStyle w:val="TableContents"/>
              <w:widowControl w:val="false"/>
              <w:suppressLineNumbers/>
              <w:bidi w:val="0"/>
              <w:jc w:val="start"/>
              <w:rPr/>
            </w:pPr>
            <w:r>
              <w:rPr/>
              <w:t>-16.32%</w:t>
            </w:r>
          </w:p>
        </w:tc>
      </w:tr>
      <w:tr>
        <w:trPr/>
        <w:tc>
          <w:tcPr>
            <w:tcW w:w="789" w:type="dxa"/>
            <w:tcBorders/>
            <w:vAlign w:val="center"/>
          </w:tcPr>
          <w:p>
            <w:pPr>
              <w:pStyle w:val="TableContents"/>
              <w:widowControl w:val="false"/>
              <w:suppressLineNumbers/>
              <w:bidi w:val="0"/>
              <w:jc w:val="start"/>
              <w:rPr/>
            </w:pPr>
            <w:r>
              <w:rPr>
                <w:rStyle w:val="Strong"/>
              </w:rPr>
              <w:t>Top 3</w:t>
            </w:r>
          </w:p>
        </w:tc>
        <w:tc>
          <w:tcPr>
            <w:tcW w:w="953" w:type="dxa"/>
            <w:tcBorders/>
            <w:vAlign w:val="center"/>
          </w:tcPr>
          <w:p>
            <w:pPr>
              <w:pStyle w:val="TableContents"/>
              <w:widowControl w:val="false"/>
              <w:suppressLineNumbers/>
              <w:bidi w:val="0"/>
              <w:jc w:val="start"/>
              <w:rPr/>
            </w:pPr>
            <w:r>
              <w:rPr>
                <w:rStyle w:val="Strong"/>
              </w:rPr>
              <w:t>-11.88%</w:t>
            </w:r>
          </w:p>
        </w:tc>
        <w:tc>
          <w:tcPr>
            <w:tcW w:w="860" w:type="dxa"/>
            <w:tcBorders/>
            <w:vAlign w:val="center"/>
          </w:tcPr>
          <w:p>
            <w:pPr>
              <w:pStyle w:val="TableContents"/>
              <w:widowControl w:val="false"/>
              <w:suppressLineNumbers/>
              <w:bidi w:val="0"/>
              <w:jc w:val="start"/>
              <w:rPr/>
            </w:pPr>
            <w:r>
              <w:rPr>
                <w:rStyle w:val="Strong"/>
              </w:rPr>
              <w:t>-7.48%</w:t>
            </w:r>
          </w:p>
        </w:tc>
        <w:tc>
          <w:tcPr>
            <w:tcW w:w="839" w:type="dxa"/>
            <w:tcBorders/>
            <w:vAlign w:val="center"/>
          </w:tcPr>
          <w:p>
            <w:pPr>
              <w:pStyle w:val="TableContents"/>
              <w:widowControl w:val="false"/>
              <w:suppressLineNumbers/>
              <w:bidi w:val="0"/>
              <w:jc w:val="start"/>
              <w:rPr/>
            </w:pPr>
            <w:r>
              <w:rPr>
                <w:rStyle w:val="Strong"/>
              </w:rPr>
              <w:t>-0.369</w:t>
            </w:r>
          </w:p>
        </w:tc>
        <w:tc>
          <w:tcPr>
            <w:tcW w:w="866" w:type="dxa"/>
            <w:tcBorders/>
            <w:vAlign w:val="center"/>
          </w:tcPr>
          <w:p>
            <w:pPr>
              <w:pStyle w:val="TableContents"/>
              <w:widowControl w:val="false"/>
              <w:suppressLineNumbers/>
              <w:bidi w:val="0"/>
              <w:jc w:val="start"/>
              <w:rPr/>
            </w:pPr>
            <w:r>
              <w:rPr>
                <w:rStyle w:val="Strong"/>
              </w:rPr>
              <w:t>-0.611</w:t>
            </w:r>
          </w:p>
        </w:tc>
        <w:tc>
          <w:tcPr>
            <w:tcW w:w="977" w:type="dxa"/>
            <w:tcBorders/>
            <w:vAlign w:val="center"/>
          </w:tcPr>
          <w:p>
            <w:pPr>
              <w:pStyle w:val="TableContents"/>
              <w:widowControl w:val="false"/>
              <w:suppressLineNumbers/>
              <w:bidi w:val="0"/>
              <w:jc w:val="start"/>
              <w:rPr/>
            </w:pPr>
            <w:r>
              <w:rPr/>
              <w:t>45.12%</w:t>
            </w:r>
          </w:p>
        </w:tc>
        <w:tc>
          <w:tcPr>
            <w:tcW w:w="1024" w:type="dxa"/>
            <w:tcBorders/>
            <w:vAlign w:val="center"/>
          </w:tcPr>
          <w:p>
            <w:pPr>
              <w:pStyle w:val="TableContents"/>
              <w:widowControl w:val="false"/>
              <w:suppressLineNumbers/>
              <w:bidi w:val="0"/>
              <w:jc w:val="start"/>
              <w:rPr/>
            </w:pPr>
            <w:r>
              <w:rPr/>
              <w:t>-19.94%</w:t>
            </w:r>
          </w:p>
        </w:tc>
      </w:tr>
      <w:tr>
        <w:trPr/>
        <w:tc>
          <w:tcPr>
            <w:tcW w:w="789" w:type="dxa"/>
            <w:tcBorders/>
            <w:vAlign w:val="center"/>
          </w:tcPr>
          <w:p>
            <w:pPr>
              <w:pStyle w:val="TableContents"/>
              <w:widowControl w:val="false"/>
              <w:suppressLineNumbers/>
              <w:bidi w:val="0"/>
              <w:jc w:val="start"/>
              <w:rPr/>
            </w:pPr>
            <w:r>
              <w:rPr/>
              <w:t>Top 5</w:t>
            </w:r>
          </w:p>
        </w:tc>
        <w:tc>
          <w:tcPr>
            <w:tcW w:w="953" w:type="dxa"/>
            <w:tcBorders/>
            <w:vAlign w:val="center"/>
          </w:tcPr>
          <w:p>
            <w:pPr>
              <w:pStyle w:val="TableContents"/>
              <w:widowControl w:val="false"/>
              <w:suppressLineNumbers/>
              <w:bidi w:val="0"/>
              <w:jc w:val="start"/>
              <w:rPr/>
            </w:pPr>
            <w:r>
              <w:rPr/>
              <w:t>+3.47%</w:t>
            </w:r>
          </w:p>
        </w:tc>
        <w:tc>
          <w:tcPr>
            <w:tcW w:w="860" w:type="dxa"/>
            <w:tcBorders/>
            <w:vAlign w:val="center"/>
          </w:tcPr>
          <w:p>
            <w:pPr>
              <w:pStyle w:val="TableContents"/>
              <w:widowControl w:val="false"/>
              <w:suppressLineNumbers/>
              <w:bidi w:val="0"/>
              <w:jc w:val="start"/>
              <w:rPr/>
            </w:pPr>
            <w:r>
              <w:rPr/>
              <w:t>+2.12%</w:t>
            </w:r>
          </w:p>
        </w:tc>
        <w:tc>
          <w:tcPr>
            <w:tcW w:w="839" w:type="dxa"/>
            <w:tcBorders/>
            <w:vAlign w:val="center"/>
          </w:tcPr>
          <w:p>
            <w:pPr>
              <w:pStyle w:val="TableContents"/>
              <w:widowControl w:val="false"/>
              <w:suppressLineNumbers/>
              <w:bidi w:val="0"/>
              <w:jc w:val="start"/>
              <w:rPr/>
            </w:pPr>
            <w:r>
              <w:rPr/>
              <w:t>0.214</w:t>
            </w:r>
          </w:p>
        </w:tc>
        <w:tc>
          <w:tcPr>
            <w:tcW w:w="866" w:type="dxa"/>
            <w:tcBorders/>
            <w:vAlign w:val="center"/>
          </w:tcPr>
          <w:p>
            <w:pPr>
              <w:pStyle w:val="TableContents"/>
              <w:widowControl w:val="false"/>
              <w:suppressLineNumbers/>
              <w:bidi w:val="0"/>
              <w:jc w:val="start"/>
              <w:rPr/>
            </w:pPr>
            <w:r>
              <w:rPr/>
              <w:t>0.371</w:t>
            </w:r>
          </w:p>
        </w:tc>
        <w:tc>
          <w:tcPr>
            <w:tcW w:w="977" w:type="dxa"/>
            <w:tcBorders/>
            <w:vAlign w:val="center"/>
          </w:tcPr>
          <w:p>
            <w:pPr>
              <w:pStyle w:val="TableContents"/>
              <w:widowControl w:val="false"/>
              <w:suppressLineNumbers/>
              <w:bidi w:val="0"/>
              <w:jc w:val="start"/>
              <w:rPr/>
            </w:pPr>
            <w:r>
              <w:rPr/>
              <w:t>53.66%</w:t>
            </w:r>
          </w:p>
        </w:tc>
        <w:tc>
          <w:tcPr>
            <w:tcW w:w="1024" w:type="dxa"/>
            <w:tcBorders/>
            <w:vAlign w:val="center"/>
          </w:tcPr>
          <w:p>
            <w:pPr>
              <w:pStyle w:val="TableContents"/>
              <w:widowControl w:val="false"/>
              <w:suppressLineNumbers/>
              <w:bidi w:val="0"/>
              <w:jc w:val="start"/>
              <w:rPr/>
            </w:pPr>
            <w:r>
              <w:rPr/>
              <w:t>-14.13%</w:t>
            </w:r>
          </w:p>
        </w:tc>
      </w:tr>
      <w:tr>
        <w:trPr/>
        <w:tc>
          <w:tcPr>
            <w:tcW w:w="789" w:type="dxa"/>
            <w:tcBorders/>
            <w:vAlign w:val="center"/>
          </w:tcPr>
          <w:p>
            <w:pPr>
              <w:pStyle w:val="TableContents"/>
              <w:widowControl w:val="false"/>
              <w:suppressLineNumbers/>
              <w:bidi w:val="0"/>
              <w:jc w:val="start"/>
              <w:rPr/>
            </w:pPr>
            <w:r>
              <w:rPr/>
              <w:t>Top 10</w:t>
            </w:r>
          </w:p>
        </w:tc>
        <w:tc>
          <w:tcPr>
            <w:tcW w:w="953" w:type="dxa"/>
            <w:tcBorders/>
            <w:vAlign w:val="center"/>
          </w:tcPr>
          <w:p>
            <w:pPr>
              <w:pStyle w:val="TableContents"/>
              <w:widowControl w:val="false"/>
              <w:suppressLineNumbers/>
              <w:bidi w:val="0"/>
              <w:jc w:val="start"/>
              <w:rPr/>
            </w:pPr>
            <w:r>
              <w:rPr/>
              <w:t>+3.21%</w:t>
            </w:r>
          </w:p>
        </w:tc>
        <w:tc>
          <w:tcPr>
            <w:tcW w:w="860" w:type="dxa"/>
            <w:tcBorders/>
            <w:vAlign w:val="center"/>
          </w:tcPr>
          <w:p>
            <w:pPr>
              <w:pStyle w:val="TableContents"/>
              <w:widowControl w:val="false"/>
              <w:suppressLineNumbers/>
              <w:bidi w:val="0"/>
              <w:jc w:val="start"/>
              <w:rPr/>
            </w:pPr>
            <w:r>
              <w:rPr/>
              <w:t>+1.96%</w:t>
            </w:r>
          </w:p>
        </w:tc>
        <w:tc>
          <w:tcPr>
            <w:tcW w:w="839" w:type="dxa"/>
            <w:tcBorders/>
            <w:vAlign w:val="center"/>
          </w:tcPr>
          <w:p>
            <w:pPr>
              <w:pStyle w:val="TableContents"/>
              <w:widowControl w:val="false"/>
              <w:suppressLineNumbers/>
              <w:bidi w:val="0"/>
              <w:jc w:val="start"/>
              <w:rPr/>
            </w:pPr>
            <w:r>
              <w:rPr/>
              <w:t>0.208</w:t>
            </w:r>
          </w:p>
        </w:tc>
        <w:tc>
          <w:tcPr>
            <w:tcW w:w="866" w:type="dxa"/>
            <w:tcBorders/>
            <w:vAlign w:val="center"/>
          </w:tcPr>
          <w:p>
            <w:pPr>
              <w:pStyle w:val="TableContents"/>
              <w:widowControl w:val="false"/>
              <w:suppressLineNumbers/>
              <w:bidi w:val="0"/>
              <w:jc w:val="start"/>
              <w:rPr/>
            </w:pPr>
            <w:r>
              <w:rPr/>
              <w:t>0.352</w:t>
            </w:r>
          </w:p>
        </w:tc>
        <w:tc>
          <w:tcPr>
            <w:tcW w:w="977" w:type="dxa"/>
            <w:tcBorders/>
            <w:vAlign w:val="center"/>
          </w:tcPr>
          <w:p>
            <w:pPr>
              <w:pStyle w:val="TableContents"/>
              <w:widowControl w:val="false"/>
              <w:suppressLineNumbers/>
              <w:bidi w:val="0"/>
              <w:jc w:val="start"/>
              <w:rPr/>
            </w:pPr>
            <w:r>
              <w:rPr/>
              <w:t>54.88%</w:t>
            </w:r>
          </w:p>
        </w:tc>
        <w:tc>
          <w:tcPr>
            <w:tcW w:w="1024" w:type="dxa"/>
            <w:tcBorders/>
            <w:vAlign w:val="center"/>
          </w:tcPr>
          <w:p>
            <w:pPr>
              <w:pStyle w:val="TableContents"/>
              <w:widowControl w:val="false"/>
              <w:suppressLineNumbers/>
              <w:bidi w:val="0"/>
              <w:jc w:val="start"/>
              <w:rPr/>
            </w:pPr>
            <w:r>
              <w:rPr/>
              <w:t>-15.05%</w:t>
            </w:r>
          </w:p>
        </w:tc>
      </w:tr>
    </w:tbl>
    <w:p>
      <w:pPr>
        <w:pStyle w:val="BodyText"/>
        <w:bidi w:val="0"/>
        <w:jc w:val="start"/>
        <w:rPr/>
      </w:pPr>
      <w:r>
        <w:rPr/>
        <w:t xml:space="preserve">And this is probably the </w:t>
      </w:r>
      <w:r>
        <w:rPr>
          <w:rStyle w:val="Strong"/>
        </w:rPr>
        <w:t>most important finding of Experiment 1</w:t>
      </w:r>
      <w:r>
        <w:rPr/>
        <w:t>.</w:t>
      </w:r>
    </w:p>
    <w:p>
      <w:pPr>
        <w:pStyle w:val="HorizontalLine"/>
        <w:bidi w:val="0"/>
        <w:jc w:val="start"/>
        <w:rPr/>
      </w:pPr>
      <w:r>
        <w:rPr/>
      </w:r>
    </w:p>
    <w:p>
      <w:pPr>
        <w:pStyle w:val="Heading1"/>
        <w:bidi w:val="0"/>
        <w:jc w:val="start"/>
        <w:rPr/>
      </w:pPr>
      <w:r>
        <w:rPr/>
        <w:t>12. What did we learn?</w:t>
      </w:r>
    </w:p>
    <w:p>
      <w:pPr>
        <w:pStyle w:val="BodyText"/>
        <w:bidi w:val="0"/>
        <w:jc w:val="start"/>
        <w:rPr/>
      </w:pPr>
      <w:r>
        <w:rPr/>
        <w:t>The naive assumption was:</w:t>
      </w:r>
    </w:p>
    <w:p>
      <w:pPr>
        <w:pStyle w:val="BlockQuotationuser"/>
        <w:bidi w:val="0"/>
        <w:jc w:val="start"/>
        <w:rPr/>
      </w:pPr>
      <w:r>
        <w:rPr/>
        <w:t>More models + different models = better prediction.</w:t>
      </w:r>
    </w:p>
    <w:p>
      <w:pPr>
        <w:pStyle w:val="BodyText"/>
        <w:bidi w:val="0"/>
        <w:jc w:val="start"/>
        <w:rPr/>
      </w:pPr>
      <w:r>
        <w:rPr/>
        <w:t>But your experiment says:</w:t>
      </w:r>
    </w:p>
    <w:p>
      <w:pPr>
        <w:pStyle w:val="BlockQuotationuser"/>
        <w:bidi w:val="0"/>
        <w:jc w:val="start"/>
        <w:rPr/>
      </w:pPr>
      <w:r>
        <w:rPr>
          <w:rStyle w:val="Strong"/>
        </w:rPr>
        <w:t>No.</w:t>
      </w:r>
    </w:p>
    <w:p>
      <w:pPr>
        <w:pStyle w:val="BodyText"/>
        <w:bidi w:val="0"/>
        <w:jc w:val="start"/>
        <w:rPr/>
      </w:pPr>
      <w:r>
        <w:rPr/>
        <w:t>The strongest individual model was:</w:t>
      </w:r>
    </w:p>
    <w:p>
      <w:pPr>
        <w:pStyle w:val="BodyText"/>
        <w:bidi w:val="0"/>
        <w:jc w:val="start"/>
        <w:rPr/>
      </w:pPr>
      <w:r>
        <w:rPr>
          <w:rStyle w:val="Strong"/>
        </w:rPr>
        <w:t>TCN</w:t>
      </w:r>
    </w:p>
    <w:p>
      <w:pPr>
        <w:pStyle w:val="BodyText"/>
        <w:bidi w:val="0"/>
        <w:jc w:val="start"/>
        <w:rPr/>
      </w:pPr>
      <w:r>
        <w:rPr/>
        <w:t>while the combined ensemble was substantially worse.</w:t>
      </w:r>
    </w:p>
    <w:p>
      <w:pPr>
        <w:pStyle w:val="BodyText"/>
        <w:bidi w:val="0"/>
        <w:jc w:val="start"/>
        <w:rPr/>
      </w:pPr>
      <w:r>
        <w:rPr/>
        <w:t>That means the models are probably producing:</w:t>
      </w:r>
    </w:p>
    <w:p>
      <w:pPr>
        <w:pStyle w:val="BodyText"/>
        <w:numPr>
          <w:ilvl w:val="0"/>
          <w:numId w:val="3"/>
        </w:numPr>
        <w:tabs>
          <w:tab w:val="left" w:pos="709" w:leader="none"/>
        </w:tabs>
        <w:bidi w:val="0"/>
        <w:spacing w:before="0" w:after="0"/>
        <w:ind w:hanging="283" w:start="709"/>
        <w:jc w:val="start"/>
        <w:rPr/>
      </w:pPr>
      <w:r>
        <w:rPr/>
        <w:t xml:space="preserve">different signals, </w:t>
      </w:r>
    </w:p>
    <w:p>
      <w:pPr>
        <w:pStyle w:val="BodyText"/>
        <w:numPr>
          <w:ilvl w:val="0"/>
          <w:numId w:val="3"/>
        </w:numPr>
        <w:tabs>
          <w:tab w:val="left" w:pos="709" w:leader="none"/>
        </w:tabs>
        <w:bidi w:val="0"/>
        <w:spacing w:before="0" w:after="0"/>
        <w:ind w:hanging="283" w:start="709"/>
        <w:jc w:val="start"/>
        <w:rPr/>
      </w:pPr>
      <w:r>
        <w:rPr/>
        <w:t xml:space="preserve">different errors, </w:t>
      </w:r>
    </w:p>
    <w:p>
      <w:pPr>
        <w:pStyle w:val="BodyText"/>
        <w:numPr>
          <w:ilvl w:val="0"/>
          <w:numId w:val="3"/>
        </w:numPr>
        <w:tabs>
          <w:tab w:val="left" w:pos="709" w:leader="none"/>
        </w:tabs>
        <w:bidi w:val="0"/>
        <w:spacing w:before="0" w:after="0"/>
        <w:ind w:hanging="283" w:start="709"/>
        <w:jc w:val="start"/>
        <w:rPr/>
      </w:pPr>
      <w:r>
        <w:rPr/>
        <w:t xml:space="preserve">different rankings, </w:t>
      </w:r>
    </w:p>
    <w:p>
      <w:pPr>
        <w:pStyle w:val="BodyText"/>
        <w:numPr>
          <w:ilvl w:val="0"/>
          <w:numId w:val="3"/>
        </w:numPr>
        <w:tabs>
          <w:tab w:val="left" w:pos="709" w:leader="none"/>
        </w:tabs>
        <w:bidi w:val="0"/>
        <w:ind w:hanging="283" w:start="709"/>
        <w:jc w:val="start"/>
        <w:rPr/>
      </w:pPr>
      <w:r>
        <w:rPr/>
        <w:t xml:space="preserve">and potentially conflicting predictions. </w:t>
      </w:r>
    </w:p>
    <w:p>
      <w:pPr>
        <w:pStyle w:val="BodyText"/>
        <w:bidi w:val="0"/>
        <w:jc w:val="start"/>
        <w:rPr/>
      </w:pPr>
      <w:r>
        <w:rPr/>
        <w:t>Simply averaging them destroys some of the useful information.</w:t>
      </w:r>
    </w:p>
    <w:p>
      <w:pPr>
        <w:pStyle w:val="HorizontalLine"/>
        <w:bidi w:val="0"/>
        <w:jc w:val="start"/>
        <w:rPr/>
      </w:pPr>
      <w:r>
        <w:rPr/>
      </w:r>
    </w:p>
    <w:p>
      <w:pPr>
        <w:pStyle w:val="Heading1"/>
        <w:bidi w:val="0"/>
        <w:jc w:val="start"/>
        <w:rPr/>
      </w:pPr>
      <w:r>
        <w:rPr/>
        <w:t>13. Why is the ensemble worse?</w:t>
      </w:r>
    </w:p>
    <w:p>
      <w:pPr>
        <w:pStyle w:val="BodyText"/>
        <w:bidi w:val="0"/>
        <w:jc w:val="start"/>
        <w:rPr/>
      </w:pPr>
      <w:r>
        <w:rPr/>
        <w:t>Imagine: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20" w:name="code-block-viewer_Copy_20"/>
      <w:bookmarkEnd w:id="20"/>
      <w:r>
        <w:rPr>
          <w:rStyle w:val="SourceText"/>
        </w:rPr>
        <w:t>Stock A</w:t>
      </w:r>
    </w:p>
    <w:p>
      <w:pPr>
        <w:pStyle w:val="PreformattedText"/>
        <w:bidi w:val="0"/>
        <w:jc w:val="start"/>
        <w:rPr/>
      </w:pPr>
      <w:r>
        <w:rPr/>
      </w:r>
    </w:p>
    <w:p>
      <w:pPr>
        <w:pStyle w:val="PreformattedText"/>
        <w:bidi w:val="0"/>
        <w:jc w:val="start"/>
        <w:rPr/>
      </w:pPr>
      <w:r>
        <w:rPr>
          <w:rStyle w:val="SourceText"/>
        </w:rPr>
        <w:t>LightGBM → 0.8</w:t>
      </w:r>
    </w:p>
    <w:p>
      <w:pPr>
        <w:pStyle w:val="PreformattedText"/>
        <w:bidi w:val="0"/>
        <w:jc w:val="start"/>
        <w:rPr/>
      </w:pPr>
      <w:r>
        <w:rPr>
          <w:rStyle w:val="SourceText"/>
        </w:rPr>
        <w:t>Factor   → 0.7</w:t>
      </w:r>
    </w:p>
    <w:p>
      <w:pPr>
        <w:pStyle w:val="PreformattedText"/>
        <w:bidi w:val="0"/>
        <w:jc w:val="start"/>
        <w:rPr/>
      </w:pPr>
      <w:r>
        <w:rPr>
          <w:rStyle w:val="SourceText"/>
        </w:rPr>
        <w:t>Momentum → 0.6</w:t>
      </w:r>
    </w:p>
    <w:p>
      <w:pPr>
        <w:pStyle w:val="PreformattedText"/>
        <w:bidi w:val="0"/>
        <w:jc w:val="start"/>
        <w:rPr/>
      </w:pPr>
      <w:r>
        <w:rPr>
          <w:rStyle w:val="SourceText"/>
        </w:rPr>
        <w:t>TCN      → 0.9</w:t>
      </w:r>
    </w:p>
    <w:p>
      <w:pPr>
        <w:pStyle w:val="PreformattedText"/>
        <w:bidi w:val="0"/>
        <w:spacing w:before="0" w:after="283"/>
        <w:jc w:val="start"/>
        <w:rPr/>
      </w:pPr>
      <w:r>
        <w:rPr>
          <w:rStyle w:val="SourceText"/>
        </w:rPr>
        <w:t>GNN      → -0.8</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A simple ensemble might turn that into something much weaker.</w:t>
      </w:r>
    </w:p>
    <w:p>
      <w:pPr>
        <w:pStyle w:val="BodyText"/>
        <w:bidi w:val="0"/>
        <w:jc w:val="start"/>
        <w:rPr/>
      </w:pPr>
      <w:r>
        <w:rPr/>
        <w:t xml:space="preserve">If GNN consistently makes poor predictions in a particular market environment, it can </w:t>
      </w:r>
      <w:r>
        <w:rPr>
          <w:rStyle w:val="Strong"/>
        </w:rPr>
        <w:t>drag down TCN's signal</w:t>
      </w:r>
      <w:r>
        <w:rPr/>
        <w:t>.</w:t>
      </w:r>
    </w:p>
    <w:p>
      <w:pPr>
        <w:pStyle w:val="BodyText"/>
        <w:bidi w:val="0"/>
        <w:jc w:val="start"/>
        <w:rPr/>
      </w:pPr>
      <w:r>
        <w:rPr/>
        <w:t xml:space="preserve">That's exactly why our next research direction should be </w:t>
      </w:r>
      <w:r>
        <w:rPr>
          <w:rStyle w:val="Strong"/>
        </w:rPr>
        <w:t>adaptive weighting</w:t>
      </w:r>
      <w:r>
        <w:rPr/>
        <w:t>, rather than another arbitrary model.</w:t>
      </w:r>
    </w:p>
    <w:p>
      <w:pPr>
        <w:pStyle w:val="HorizontalLine"/>
        <w:bidi w:val="0"/>
        <w:jc w:val="start"/>
        <w:rPr/>
      </w:pPr>
      <w:r>
        <w:rPr/>
      </w:r>
    </w:p>
    <w:p>
      <w:pPr>
        <w:pStyle w:val="Heading1"/>
        <w:bidi w:val="0"/>
        <w:jc w:val="start"/>
        <w:rPr/>
      </w:pPr>
      <w:r>
        <w:rPr/>
        <w:t>14. What does "accuracy" mean in this experiment?</w:t>
      </w:r>
    </w:p>
    <w:p>
      <w:pPr>
        <w:pStyle w:val="BodyText"/>
        <w:bidi w:val="0"/>
        <w:jc w:val="start"/>
        <w:rPr/>
      </w:pPr>
      <w:r>
        <w:rPr/>
        <w:t>This is extremely important.</w:t>
      </w:r>
    </w:p>
    <w:p>
      <w:pPr>
        <w:pStyle w:val="BodyText"/>
        <w:bidi w:val="0"/>
        <w:jc w:val="start"/>
        <w:rPr/>
      </w:pPr>
      <w:r>
        <w:rPr/>
        <w:t>You currently have:</w:t>
      </w:r>
    </w:p>
    <w:p>
      <w:pPr>
        <w:pStyle w:val="Heading3"/>
        <w:bidi w:val="0"/>
        <w:jc w:val="start"/>
        <w:rPr/>
      </w:pPr>
      <w:r>
        <w:rPr/>
        <w:t>HitRate</w:t>
      </w:r>
    </w:p>
    <w:p>
      <w:pPr>
        <w:pStyle w:val="BodyText"/>
        <w:bidi w:val="0"/>
        <w:jc w:val="start"/>
        <w:rPr/>
      </w:pPr>
      <w:r>
        <w:rPr/>
        <w:t>For a portfolio:</w:t>
      </w:r>
    </w:p>
    <w:p>
      <w:pPr>
        <w:pStyle w:val="BodyText"/>
        <w:bidi w:val="0"/>
        <w:jc w:val="start"/>
        <w:rPr/>
      </w:pPr>
      <w:r>
        <w:rPr/>
        <w:t> </w:t>
      </w:r>
      <w:r>
        <w:rPr/>
        <w:t xml:space="preserve">holding periods holding periods </w:t>
      </w:r>
    </w:p>
    <w:p>
      <w:pPr>
        <w:pStyle w:val="BodyText"/>
        <w:bidi w:val="0"/>
        <w:jc w:val="start"/>
        <w:rPr/>
      </w:pPr>
      <w:r>
        <w:rPr/>
        <w:t>There were:</w:t>
      </w:r>
    </w:p>
    <w:p>
      <w:pPr>
        <w:pStyle w:val="BlockQuotationuser"/>
        <w:bidi w:val="0"/>
        <w:jc w:val="start"/>
        <w:rPr/>
      </w:pPr>
      <w:r>
        <w:rPr>
          <w:rStyle w:val="Strong"/>
        </w:rPr>
        <w:t>82 non-overlapping periods</w:t>
      </w:r>
    </w:p>
    <w:p>
      <w:pPr>
        <w:pStyle w:val="BodyText"/>
        <w:bidi w:val="0"/>
        <w:jc w:val="start"/>
        <w:rPr/>
      </w:pPr>
      <w:r>
        <w:rPr/>
        <w:t>So, for example: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spacing w:before="0" w:after="283"/>
        <w:ind w:hanging="0" w:start="0" w:end="0"/>
        <w:jc w:val="start"/>
        <w:rPr/>
      </w:pPr>
      <w:bookmarkStart w:id="21" w:name="code-block-viewer_Copy_21"/>
      <w:bookmarkEnd w:id="21"/>
      <w:r>
        <w:rPr>
          <w:rStyle w:val="SourceText"/>
        </w:rPr>
        <w:t>TCN Top-1 HitRate = 54.878%</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means approximately:</w:t>
      </w:r>
    </w:p>
    <w:p>
      <w:pPr>
        <w:pStyle w:val="BlockQuotationuser"/>
        <w:bidi w:val="0"/>
        <w:jc w:val="start"/>
        <w:rPr/>
      </w:pPr>
      <w:r>
        <w:rPr/>
        <w:t>45 of the 82 five-day portfolio periods were profitable.</w:t>
      </w:r>
    </w:p>
    <w:p>
      <w:pPr>
        <w:pStyle w:val="BodyText"/>
        <w:bidi w:val="0"/>
        <w:jc w:val="start"/>
        <w:rPr/>
      </w:pPr>
      <w:r>
        <w:rPr/>
        <w:t xml:space="preserve">It does </w:t>
      </w:r>
      <w:r>
        <w:rPr>
          <w:rStyle w:val="Strong"/>
        </w:rPr>
        <w:t>not</w:t>
      </w:r>
      <w:r>
        <w:rPr/>
        <w:t xml:space="preserve"> mean that the TCN predicted 54.9% of individual stock prices correctly.</w:t>
      </w:r>
    </w:p>
    <w:p>
      <w:pPr>
        <w:pStyle w:val="HorizontalLine"/>
        <w:bidi w:val="0"/>
        <w:jc w:val="start"/>
        <w:rPr/>
      </w:pPr>
      <w:r>
        <w:rPr/>
      </w:r>
    </w:p>
    <w:p>
      <w:pPr>
        <w:pStyle w:val="Heading1"/>
        <w:bidi w:val="0"/>
        <w:jc w:val="start"/>
        <w:rPr/>
      </w:pPr>
      <w:r>
        <w:rPr/>
        <w:t>15. What does Sharpe mean?</w:t>
      </w:r>
    </w:p>
    <w:p>
      <w:pPr>
        <w:pStyle w:val="BodyText"/>
        <w:bidi w:val="0"/>
        <w:jc w:val="start"/>
        <w:rPr/>
      </w:pPr>
      <w:r>
        <w:rPr/>
        <w:t>Your code uses the 5-day portfolio returns and annualizes them.</w:t>
      </w:r>
    </w:p>
    <w:p>
      <w:pPr>
        <w:pStyle w:val="BodyText"/>
        <w:bidi w:val="0"/>
        <w:jc w:val="start"/>
        <w:rPr/>
      </w:pPr>
      <w:r>
        <w:rPr/>
        <w:t>Conceptually:</w:t>
      </w:r>
    </w:p>
    <w:p>
      <w:pPr>
        <w:pStyle w:val="BodyText"/>
        <w:bidi w:val="0"/>
        <w:jc w:val="start"/>
        <w:rPr/>
      </w:pPr>
      <w:r>
        <w:rPr/>
        <w:t> </w:t>
      </w:r>
      <w:r>
        <w:rPr/>
        <w:t xml:space="preserve">return volatility </w:t>
      </w:r>
    </w:p>
    <w:p>
      <w:pPr>
        <w:pStyle w:val="BodyText"/>
        <w:bidi w:val="0"/>
        <w:jc w:val="start"/>
        <w:rPr/>
      </w:pPr>
      <w:r>
        <w:rPr/>
        <w:t>So:</w:t>
      </w:r>
    </w:p>
    <w:p>
      <w:pPr>
        <w:pStyle w:val="BlockQuotationuser"/>
        <w:bidi w:val="0"/>
        <w:jc w:val="start"/>
        <w:rPr/>
      </w:pPr>
      <w:r>
        <w:rPr>
          <w:rStyle w:val="Strong"/>
        </w:rPr>
        <w:t>Sharpe 1.421</w:t>
      </w:r>
    </w:p>
    <w:p>
      <w:pPr>
        <w:pStyle w:val="BodyText"/>
        <w:bidi w:val="0"/>
        <w:jc w:val="start"/>
        <w:rPr/>
      </w:pPr>
      <w:r>
        <w:rPr/>
        <w:t>for TCN Top-1 means the risk-adjusted performance was considerably stronger than strategies around Sharpe 0.2–0.5.</w:t>
      </w:r>
    </w:p>
    <w:p>
      <w:pPr>
        <w:pStyle w:val="BodyText"/>
        <w:bidi w:val="0"/>
        <w:jc w:val="start"/>
        <w:rPr/>
      </w:pPr>
      <w:r>
        <w:rPr/>
        <w:t>But Sharpe should not be interpreted in isolation.</w:t>
      </w:r>
    </w:p>
    <w:p>
      <w:pPr>
        <w:pStyle w:val="HorizontalLine"/>
        <w:bidi w:val="0"/>
        <w:jc w:val="start"/>
        <w:rPr/>
      </w:pPr>
      <w:r>
        <w:rPr/>
      </w:r>
    </w:p>
    <w:p>
      <w:pPr>
        <w:pStyle w:val="Heading1"/>
        <w:bidi w:val="0"/>
        <w:jc w:val="start"/>
        <w:rPr/>
      </w:pPr>
      <w:r>
        <w:rPr/>
        <w:t>16. What does CAGR mean?</w:t>
      </w:r>
    </w:p>
    <w:p>
      <w:pPr>
        <w:pStyle w:val="BodyText"/>
        <w:bidi w:val="0"/>
        <w:jc w:val="start"/>
        <w:rPr/>
      </w:pPr>
      <w:r>
        <w:rPr/>
        <w:t>CAGR asks:</w:t>
      </w:r>
    </w:p>
    <w:p>
      <w:pPr>
        <w:pStyle w:val="BlockQuotationuser"/>
        <w:bidi w:val="0"/>
        <w:jc w:val="start"/>
        <w:rPr/>
      </w:pPr>
      <w:r>
        <w:rPr/>
        <w:t>If the entire observed growth had compounded at a constant annual rate, what annual rate would produce the same final wealth?</w:t>
      </w:r>
    </w:p>
    <w:p>
      <w:pPr>
        <w:pStyle w:val="BodyText"/>
        <w:bidi w:val="0"/>
        <w:jc w:val="start"/>
        <w:rPr/>
      </w:pPr>
      <w:r>
        <w:rPr/>
        <w:t>For TCN Top-1:</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22" w:name="code-block-viewer_Copy_22"/>
      <w:bookmarkEnd w:id="22"/>
      <w:r>
        <w:rPr>
          <w:rStyle w:val="SourceText"/>
        </w:rPr>
        <w:t>Total return = +85.10%</w:t>
      </w:r>
    </w:p>
    <w:p>
      <w:pPr>
        <w:pStyle w:val="PreformattedText"/>
        <w:bidi w:val="0"/>
        <w:spacing w:before="0" w:after="283"/>
        <w:jc w:val="start"/>
        <w:rPr/>
      </w:pPr>
      <w:r>
        <w:rPr>
          <w:rStyle w:val="SourceText"/>
        </w:rPr>
        <w:t>CAGR         = +46.00%</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The portfolio did not literally earn exactly 46% every year.</w:t>
      </w:r>
    </w:p>
    <w:p>
      <w:pPr>
        <w:pStyle w:val="BodyText"/>
        <w:bidi w:val="0"/>
        <w:jc w:val="start"/>
        <w:rPr/>
      </w:pPr>
      <w:r>
        <w:rPr/>
        <w:t>It means its compounded growth over the backtest corresponds to approximately a 46% annualized rate.</w:t>
      </w:r>
    </w:p>
    <w:p>
      <w:pPr>
        <w:pStyle w:val="HorizontalLine"/>
        <w:bidi w:val="0"/>
        <w:jc w:val="start"/>
        <w:rPr/>
      </w:pPr>
      <w:r>
        <w:rPr/>
      </w:r>
    </w:p>
    <w:p>
      <w:pPr>
        <w:pStyle w:val="Heading1"/>
        <w:bidi w:val="0"/>
        <w:jc w:val="start"/>
        <w:rPr/>
      </w:pPr>
      <w:r>
        <w:rPr/>
        <w:t>17. What does Max Drawdown mean?</w:t>
      </w:r>
    </w:p>
    <w:p>
      <w:pPr>
        <w:pStyle w:val="BodyText"/>
        <w:bidi w:val="0"/>
        <w:jc w:val="start"/>
        <w:rPr/>
      </w:pPr>
      <w:r>
        <w:rPr/>
        <w:t>Maximum drawdown measures the largest peak-to-trough decline.</w:t>
      </w:r>
    </w:p>
    <w:p>
      <w:pPr>
        <w:pStyle w:val="BodyText"/>
        <w:bidi w:val="0"/>
        <w:jc w:val="start"/>
        <w:rPr/>
      </w:pPr>
      <w:r>
        <w:rPr/>
        <w:t>For TCN Top-10:</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spacing w:before="0" w:after="283"/>
        <w:ind w:hanging="0" w:start="0" w:end="0"/>
        <w:jc w:val="start"/>
        <w:rPr/>
      </w:pPr>
      <w:bookmarkStart w:id="23" w:name="code-block-viewer_Copy_23"/>
      <w:bookmarkEnd w:id="23"/>
      <w:r>
        <w:rPr>
          <w:rStyle w:val="SourceText"/>
        </w:rPr>
        <w:t>MaxDrawdown = -11.64%</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Meaning the equity curve's worst decline from a previous peak was approximately 11.6%.</w:t>
      </w:r>
    </w:p>
    <w:p>
      <w:pPr>
        <w:pStyle w:val="BodyText"/>
        <w:bidi w:val="0"/>
        <w:jc w:val="start"/>
        <w:rPr/>
      </w:pPr>
      <w:r>
        <w:rPr/>
        <w:t>This is particularly useful because a strategy with high return but a -60% drawdown may be much less attractive than one with lower return and -10% drawdown.</w:t>
      </w:r>
    </w:p>
    <w:p>
      <w:pPr>
        <w:pStyle w:val="HorizontalLine"/>
        <w:bidi w:val="0"/>
        <w:jc w:val="start"/>
        <w:rPr/>
      </w:pPr>
      <w:r>
        <w:rPr/>
      </w:r>
    </w:p>
    <w:p>
      <w:pPr>
        <w:pStyle w:val="Heading1"/>
        <w:bidi w:val="0"/>
        <w:jc w:val="start"/>
        <w:rPr/>
      </w:pPr>
      <w:r>
        <w:rPr/>
        <w:t>18. What does Sortino measure?</w:t>
      </w:r>
    </w:p>
    <w:p>
      <w:pPr>
        <w:pStyle w:val="BodyText"/>
        <w:bidi w:val="0"/>
        <w:jc w:val="start"/>
        <w:rPr/>
      </w:pPr>
      <w:r>
        <w:rPr/>
        <w:t xml:space="preserve">Sortino is similar to Sharpe but focuses on </w:t>
      </w:r>
      <w:r>
        <w:rPr>
          <w:rStyle w:val="Strong"/>
        </w:rPr>
        <w:t>downside volatility</w:t>
      </w:r>
      <w:r>
        <w:rPr/>
        <w:t>.</w:t>
      </w:r>
    </w:p>
    <w:p>
      <w:pPr>
        <w:pStyle w:val="BodyText"/>
        <w:bidi w:val="0"/>
        <w:jc w:val="start"/>
        <w:rPr/>
      </w:pPr>
      <w:r>
        <w:rPr/>
        <w:t>Therefore:</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24" w:name="code-block-viewer_Copy_24"/>
      <w:bookmarkEnd w:id="24"/>
      <w:r>
        <w:rPr>
          <w:rStyle w:val="SourceText"/>
        </w:rPr>
        <w:t>TCN Top-10</w:t>
      </w:r>
    </w:p>
    <w:p>
      <w:pPr>
        <w:pStyle w:val="PreformattedText"/>
        <w:bidi w:val="0"/>
        <w:jc w:val="start"/>
        <w:rPr/>
      </w:pPr>
      <w:r>
        <w:rPr>
          <w:rStyle w:val="SourceText"/>
        </w:rPr>
        <w:t>Sharpe  = 1.119</w:t>
      </w:r>
    </w:p>
    <w:p>
      <w:pPr>
        <w:pStyle w:val="PreformattedText"/>
        <w:bidi w:val="0"/>
        <w:spacing w:before="0" w:after="283"/>
        <w:jc w:val="start"/>
        <w:rPr/>
      </w:pPr>
      <w:r>
        <w:rPr>
          <w:rStyle w:val="SourceText"/>
        </w:rPr>
        <w:t>Sortino = 2.159</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means the strategy's returns were relatively favorable compared with its downside variability.</w:t>
      </w:r>
    </w:p>
    <w:p>
      <w:pPr>
        <w:pStyle w:val="HorizontalLine"/>
        <w:bidi w:val="0"/>
        <w:jc w:val="start"/>
        <w:rPr/>
      </w:pPr>
      <w:r>
        <w:rPr/>
      </w:r>
    </w:p>
    <w:p>
      <w:pPr>
        <w:pStyle w:val="Heading1"/>
        <w:bidi w:val="0"/>
        <w:jc w:val="start"/>
        <w:rPr/>
      </w:pPr>
      <w:r>
        <w:rPr/>
        <w:t>19. How did the backtest work?</w:t>
      </w:r>
    </w:p>
    <w:p>
      <w:pPr>
        <w:pStyle w:val="BodyText"/>
        <w:bidi w:val="0"/>
        <w:jc w:val="start"/>
        <w:rPr/>
      </w:pPr>
      <w:r>
        <w:rPr/>
        <w:t>This is the portfolio construction process: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25" w:name="code-block-viewer_Copy_25"/>
      <w:bookmarkEnd w:id="25"/>
      <w:r>
        <w:rPr>
          <w:rStyle w:val="SourceText"/>
        </w:rPr>
        <w:t>Day t</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Calculate model scores for 49 stocks</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Rank stocks</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Select Top K</w:t>
      </w:r>
    </w:p>
    <w:p>
      <w:pPr>
        <w:pStyle w:val="PreformattedText"/>
        <w:bidi w:val="0"/>
        <w:jc w:val="start"/>
        <w:rPr/>
      </w:pPr>
      <w:r>
        <w:rPr>
          <w:rStyle w:val="SourceText"/>
        </w:rPr>
        <w:t xml:space="preserve"> │</w:t>
      </w:r>
    </w:p>
    <w:p>
      <w:pPr>
        <w:pStyle w:val="PreformattedText"/>
        <w:bidi w:val="0"/>
        <w:jc w:val="start"/>
        <w:rPr/>
      </w:pPr>
      <w:r>
        <w:rPr>
          <w:rStyle w:val="SourceText"/>
        </w:rPr>
        <w:t xml:space="preserve"> └── </w:t>
      </w:r>
      <w:r>
        <w:rPr>
          <w:rStyle w:val="SourceText"/>
        </w:rPr>
        <w:t>Enter portfolio</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Hold 5 trading days</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future_return_5d</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Then the next rebalance happens after five trading sessions.</w:t>
      </w:r>
    </w:p>
    <w:p>
      <w:pPr>
        <w:pStyle w:val="BodyText"/>
        <w:bidi w:val="0"/>
        <w:jc w:val="start"/>
        <w:rPr/>
      </w:pPr>
      <w:r>
        <w:rPr/>
        <w:t>That's why you have:</w:t>
      </w:r>
    </w:p>
    <w:p>
      <w:pPr>
        <w:pStyle w:val="BlockQuotationuser"/>
        <w:bidi w:val="0"/>
        <w:jc w:val="start"/>
        <w:rPr/>
      </w:pPr>
      <w:r>
        <w:rPr>
          <w:rStyle w:val="Strong"/>
        </w:rPr>
        <w:t>407 test days</w:t>
      </w:r>
    </w:p>
    <w:p>
      <w:pPr>
        <w:pStyle w:val="BodyText"/>
        <w:bidi w:val="0"/>
        <w:jc w:val="start"/>
        <w:rPr/>
      </w:pPr>
      <w:r>
        <w:rPr/>
        <w:t>but only:</w:t>
      </w:r>
    </w:p>
    <w:p>
      <w:pPr>
        <w:pStyle w:val="BlockQuotationuser"/>
        <w:bidi w:val="0"/>
        <w:jc w:val="start"/>
        <w:rPr/>
      </w:pPr>
      <w:r>
        <w:rPr>
          <w:rStyle w:val="Strong"/>
        </w:rPr>
        <w:t>82 portfolio periods</w:t>
      </w:r>
    </w:p>
    <w:p>
      <w:pPr>
        <w:pStyle w:val="BodyText"/>
        <w:bidi w:val="0"/>
        <w:jc w:val="start"/>
        <w:rPr/>
      </w:pPr>
      <w:r>
        <w:rPr/>
        <w:t>because:</w:t>
      </w:r>
    </w:p>
    <w:p>
      <w:pPr>
        <w:pStyle w:val="HorizontalLine"/>
        <w:bidi w:val="0"/>
        <w:jc w:val="start"/>
        <w:rPr/>
      </w:pPr>
      <w:r>
        <w:rPr/>
      </w:r>
    </w:p>
    <w:p>
      <w:pPr>
        <w:pStyle w:val="Heading1"/>
        <w:bidi w:val="0"/>
        <w:jc w:val="start"/>
        <w:rPr/>
      </w:pPr>
      <w:r>
        <w:rPr/>
        <w:t>20. What exactly was tested?</w:t>
      </w:r>
    </w:p>
    <w:p>
      <w:pPr>
        <w:pStyle w:val="BodyText"/>
        <w:bidi w:val="0"/>
        <w:jc w:val="start"/>
        <w:rPr/>
      </w:pPr>
      <w:r>
        <w:rPr/>
        <w:t>The test dataset contains:</w:t>
      </w:r>
    </w:p>
    <w:p>
      <w:pPr>
        <w:sectPr>
          <w:type w:val="continuous"/>
          <w:pgSz w:w="11906" w:h="16838"/>
          <w:pgMar w:left="1134" w:right="1134" w:gutter="0" w:header="0" w:top="1134" w:footer="0" w:bottom="1134"/>
          <w:formProt w:val="false"/>
          <w:textDirection w:val="lrTb"/>
          <w:docGrid w:type="default" w:linePitch="100" w:charSpace="0"/>
        </w:sectPr>
      </w:pPr>
    </w:p>
    <w:p>
      <w:pPr>
        <w:pStyle w:val="PreformattedText"/>
        <w:bidi w:val="0"/>
        <w:ind w:hanging="0" w:start="0" w:end="0"/>
        <w:jc w:val="start"/>
        <w:rPr/>
      </w:pPr>
      <w:bookmarkStart w:id="26" w:name="code-block-viewer_Copy_26"/>
      <w:bookmarkEnd w:id="26"/>
      <w:r>
        <w:rPr>
          <w:rStyle w:val="SourceText"/>
        </w:rPr>
        <w:t>19,937 observations</w:t>
      </w:r>
    </w:p>
    <w:p>
      <w:pPr>
        <w:pStyle w:val="PreformattedText"/>
        <w:bidi w:val="0"/>
        <w:jc w:val="start"/>
        <w:rPr/>
      </w:pPr>
      <w:r>
        <w:rPr>
          <w:rStyle w:val="SourceText"/>
        </w:rPr>
        <w:t>49 stocks</w:t>
      </w:r>
    </w:p>
    <w:p>
      <w:pPr>
        <w:pStyle w:val="PreformattedText"/>
        <w:bidi w:val="0"/>
        <w:spacing w:before="0" w:after="283"/>
        <w:jc w:val="start"/>
        <w:rPr/>
      </w:pPr>
      <w:r>
        <w:rPr>
          <w:rStyle w:val="SourceText"/>
        </w:rPr>
        <w:t>407 dates</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bidi w:val="0"/>
        <w:jc w:val="start"/>
        <w:rPr/>
      </w:pPr>
      <w:r>
        <w:rPr/>
        <w:t>Every model generated scores for the test observations.</w:t>
      </w:r>
    </w:p>
    <w:p>
      <w:pPr>
        <w:pStyle w:val="BodyText"/>
        <w:bidi w:val="0"/>
        <w:jc w:val="start"/>
        <w:rPr/>
      </w:pPr>
      <w:r>
        <w:rPr/>
        <w:t>Then for each rebalance date:</w:t>
      </w:r>
    </w:p>
    <w:p>
      <w:pPr>
        <w:pStyle w:val="BodyText"/>
        <w:numPr>
          <w:ilvl w:val="0"/>
          <w:numId w:val="4"/>
        </w:numPr>
        <w:tabs>
          <w:tab w:val="left" w:pos="709" w:leader="none"/>
        </w:tabs>
        <w:bidi w:val="0"/>
        <w:spacing w:before="0" w:after="0"/>
        <w:ind w:hanging="283" w:start="709"/>
        <w:jc w:val="start"/>
        <w:rPr/>
      </w:pPr>
      <w:r>
        <w:rPr/>
        <w:t xml:space="preserve">rank stocks by model score; </w:t>
      </w:r>
    </w:p>
    <w:p>
      <w:pPr>
        <w:pStyle w:val="BodyText"/>
        <w:numPr>
          <w:ilvl w:val="0"/>
          <w:numId w:val="4"/>
        </w:numPr>
        <w:tabs>
          <w:tab w:val="left" w:pos="709" w:leader="none"/>
        </w:tabs>
        <w:bidi w:val="0"/>
        <w:spacing w:before="0" w:after="0"/>
        <w:ind w:hanging="283" w:start="709"/>
        <w:jc w:val="start"/>
        <w:rPr/>
      </w:pPr>
      <w:r>
        <w:rPr/>
        <w:t xml:space="preserve">select Top 1 / 3 / 5 / 10; </w:t>
      </w:r>
    </w:p>
    <w:p>
      <w:pPr>
        <w:pStyle w:val="BodyText"/>
        <w:numPr>
          <w:ilvl w:val="0"/>
          <w:numId w:val="4"/>
        </w:numPr>
        <w:tabs>
          <w:tab w:val="left" w:pos="709" w:leader="none"/>
        </w:tabs>
        <w:bidi w:val="0"/>
        <w:spacing w:before="0" w:after="0"/>
        <w:ind w:hanging="283" w:start="709"/>
        <w:jc w:val="start"/>
        <w:rPr/>
      </w:pPr>
      <w:r>
        <w:rPr/>
        <w:t xml:space="preserve">equal-weight selected stocks; </w:t>
      </w:r>
    </w:p>
    <w:p>
      <w:pPr>
        <w:pStyle w:val="BodyText"/>
        <w:numPr>
          <w:ilvl w:val="0"/>
          <w:numId w:val="4"/>
        </w:numPr>
        <w:tabs>
          <w:tab w:val="left" w:pos="709" w:leader="none"/>
        </w:tabs>
        <w:bidi w:val="0"/>
        <w:spacing w:before="0" w:after="0"/>
        <w:ind w:hanging="283" w:start="709"/>
        <w:jc w:val="start"/>
        <w:rPr/>
      </w:pPr>
      <w:r>
        <w:rPr/>
        <w:t xml:space="preserve">hold for 5 sessions; </w:t>
      </w:r>
    </w:p>
    <w:p>
      <w:pPr>
        <w:pStyle w:val="BodyText"/>
        <w:numPr>
          <w:ilvl w:val="0"/>
          <w:numId w:val="4"/>
        </w:numPr>
        <w:tabs>
          <w:tab w:val="left" w:pos="709" w:leader="none"/>
        </w:tabs>
        <w:bidi w:val="0"/>
        <w:spacing w:before="0" w:after="0"/>
        <w:ind w:hanging="283" w:start="709"/>
        <w:jc w:val="start"/>
        <w:rPr/>
      </w:pPr>
      <w:r>
        <w:rPr/>
        <w:t xml:space="preserve">calculate average </w:t>
      </w:r>
      <w:r>
        <w:rPr>
          <w:rStyle w:val="SourceText"/>
        </w:rPr>
        <w:t>future_return_5d</w:t>
      </w:r>
      <w:r>
        <w:rPr/>
        <w:t xml:space="preserve">; </w:t>
      </w:r>
    </w:p>
    <w:p>
      <w:pPr>
        <w:pStyle w:val="BodyText"/>
        <w:numPr>
          <w:ilvl w:val="0"/>
          <w:numId w:val="4"/>
        </w:numPr>
        <w:tabs>
          <w:tab w:val="left" w:pos="709" w:leader="none"/>
        </w:tabs>
        <w:bidi w:val="0"/>
        <w:ind w:hanging="283" w:start="709"/>
        <w:jc w:val="start"/>
        <w:rPr/>
      </w:pPr>
      <w:r>
        <w:rPr/>
        <w:t xml:space="preserve">compound those portfolio returns. </w:t>
      </w:r>
    </w:p>
    <w:p>
      <w:pPr>
        <w:pStyle w:val="HorizontalLine"/>
        <w:bidi w:val="0"/>
        <w:jc w:val="start"/>
        <w:rPr/>
      </w:pPr>
      <w:r>
        <w:rPr/>
      </w:r>
    </w:p>
    <w:p>
      <w:pPr>
        <w:pStyle w:val="Heading1"/>
        <w:bidi w:val="0"/>
        <w:jc w:val="start"/>
        <w:rPr/>
      </w:pPr>
      <w:r>
        <w:rPr/>
        <w:t>21. What we did NOT test yet</w:t>
      </w:r>
    </w:p>
    <w:p>
      <w:pPr>
        <w:pStyle w:val="BodyText"/>
        <w:bidi w:val="0"/>
        <w:jc w:val="start"/>
        <w:rPr/>
      </w:pPr>
      <w:r>
        <w:rPr/>
        <w:t>This is just as important.</w:t>
      </w:r>
    </w:p>
    <w:p>
      <w:pPr>
        <w:pStyle w:val="BodyText"/>
        <w:bidi w:val="0"/>
        <w:jc w:val="start"/>
        <w:rPr/>
      </w:pPr>
      <w:r>
        <w:rPr/>
        <w:t xml:space="preserve">Experiment 1 </w:t>
      </w:r>
      <w:r>
        <w:rPr>
          <w:rStyle w:val="Strong"/>
        </w:rPr>
        <w:t>does not yet contain</w:t>
      </w:r>
      <w:r>
        <w:rPr/>
        <w:t>:</w:t>
      </w:r>
    </w:p>
    <w:p>
      <w:pPr>
        <w:pStyle w:val="Heading3"/>
        <w:bidi w:val="0"/>
        <w:jc w:val="start"/>
        <w:rPr/>
      </w:pPr>
      <w:r>
        <w:rPr/>
        <w:t>News</w:t>
      </w:r>
    </w:p>
    <w:p>
      <w:pPr>
        <w:pStyle w:val="BodyText"/>
        <w:bidi w:val="0"/>
        <w:jc w:val="start"/>
        <w:rPr/>
      </w:pPr>
      <w:r>
        <w:rPr/>
        <w:t>No:</w:t>
      </w:r>
    </w:p>
    <w:p>
      <w:pPr>
        <w:pStyle w:val="BodyText"/>
        <w:numPr>
          <w:ilvl w:val="0"/>
          <w:numId w:val="5"/>
        </w:numPr>
        <w:tabs>
          <w:tab w:val="left" w:pos="709" w:leader="none"/>
        </w:tabs>
        <w:bidi w:val="0"/>
        <w:spacing w:before="0" w:after="0"/>
        <w:ind w:hanging="283" w:start="709"/>
        <w:jc w:val="start"/>
        <w:rPr/>
      </w:pPr>
      <w:r>
        <w:rPr/>
        <w:t xml:space="preserve">financial news </w:t>
      </w:r>
    </w:p>
    <w:p>
      <w:pPr>
        <w:pStyle w:val="BodyText"/>
        <w:numPr>
          <w:ilvl w:val="0"/>
          <w:numId w:val="5"/>
        </w:numPr>
        <w:tabs>
          <w:tab w:val="left" w:pos="709" w:leader="none"/>
        </w:tabs>
        <w:bidi w:val="0"/>
        <w:spacing w:before="0" w:after="0"/>
        <w:ind w:hanging="283" w:start="709"/>
        <w:jc w:val="start"/>
        <w:rPr/>
      </w:pPr>
      <w:r>
        <w:rPr/>
        <w:t xml:space="preserve">earnings news </w:t>
      </w:r>
    </w:p>
    <w:p>
      <w:pPr>
        <w:pStyle w:val="BodyText"/>
        <w:numPr>
          <w:ilvl w:val="0"/>
          <w:numId w:val="5"/>
        </w:numPr>
        <w:tabs>
          <w:tab w:val="left" w:pos="709" w:leader="none"/>
        </w:tabs>
        <w:bidi w:val="0"/>
        <w:spacing w:before="0" w:after="0"/>
        <w:ind w:hanging="283" w:start="709"/>
        <w:jc w:val="start"/>
        <w:rPr/>
      </w:pPr>
      <w:r>
        <w:rPr/>
        <w:t xml:space="preserve">sentiment </w:t>
      </w:r>
    </w:p>
    <w:p>
      <w:pPr>
        <w:pStyle w:val="BodyText"/>
        <w:numPr>
          <w:ilvl w:val="0"/>
          <w:numId w:val="5"/>
        </w:numPr>
        <w:tabs>
          <w:tab w:val="left" w:pos="709" w:leader="none"/>
        </w:tabs>
        <w:bidi w:val="0"/>
        <w:spacing w:before="0" w:after="0"/>
        <w:ind w:hanging="283" w:start="709"/>
        <w:jc w:val="start"/>
        <w:rPr/>
      </w:pPr>
      <w:r>
        <w:rPr/>
        <w:t xml:space="preserve">headlines </w:t>
      </w:r>
    </w:p>
    <w:p>
      <w:pPr>
        <w:pStyle w:val="BodyText"/>
        <w:numPr>
          <w:ilvl w:val="0"/>
          <w:numId w:val="5"/>
        </w:numPr>
        <w:tabs>
          <w:tab w:val="left" w:pos="709" w:leader="none"/>
        </w:tabs>
        <w:bidi w:val="0"/>
        <w:spacing w:before="0" w:after="0"/>
        <w:ind w:hanging="283" w:start="709"/>
        <w:jc w:val="start"/>
        <w:rPr/>
      </w:pPr>
      <w:r>
        <w:rPr/>
        <w:t xml:space="preserve">event extraction </w:t>
      </w:r>
    </w:p>
    <w:p>
      <w:pPr>
        <w:pStyle w:val="BodyText"/>
        <w:numPr>
          <w:ilvl w:val="0"/>
          <w:numId w:val="5"/>
        </w:numPr>
        <w:tabs>
          <w:tab w:val="left" w:pos="709" w:leader="none"/>
        </w:tabs>
        <w:bidi w:val="0"/>
        <w:ind w:hanging="283" w:start="709"/>
        <w:jc w:val="start"/>
        <w:rPr/>
      </w:pPr>
      <w:r>
        <w:rPr/>
        <w:t xml:space="preserve">news embeddings </w:t>
      </w:r>
    </w:p>
    <w:p>
      <w:pPr>
        <w:pStyle w:val="Heading3"/>
        <w:bidi w:val="0"/>
        <w:jc w:val="start"/>
        <w:rPr/>
      </w:pPr>
      <w:r>
        <w:rPr/>
        <w:t>Real liquidity</w:t>
      </w:r>
    </w:p>
    <w:p>
      <w:pPr>
        <w:pStyle w:val="BodyText"/>
        <w:bidi w:val="0"/>
        <w:jc w:val="start"/>
        <w:rPr/>
      </w:pPr>
      <w:r>
        <w:rPr/>
        <w:t>We have volume-derived features, but not:</w:t>
      </w:r>
    </w:p>
    <w:p>
      <w:pPr>
        <w:pStyle w:val="BodyText"/>
        <w:numPr>
          <w:ilvl w:val="0"/>
          <w:numId w:val="6"/>
        </w:numPr>
        <w:tabs>
          <w:tab w:val="left" w:pos="709" w:leader="none"/>
        </w:tabs>
        <w:bidi w:val="0"/>
        <w:spacing w:before="0" w:after="0"/>
        <w:ind w:hanging="283" w:start="709"/>
        <w:jc w:val="start"/>
        <w:rPr/>
      </w:pPr>
      <w:r>
        <w:rPr/>
        <w:t xml:space="preserve">bid/ask spread </w:t>
      </w:r>
    </w:p>
    <w:p>
      <w:pPr>
        <w:pStyle w:val="BodyText"/>
        <w:numPr>
          <w:ilvl w:val="0"/>
          <w:numId w:val="6"/>
        </w:numPr>
        <w:tabs>
          <w:tab w:val="left" w:pos="709" w:leader="none"/>
        </w:tabs>
        <w:bidi w:val="0"/>
        <w:spacing w:before="0" w:after="0"/>
        <w:ind w:hanging="283" w:start="709"/>
        <w:jc w:val="start"/>
        <w:rPr/>
      </w:pPr>
      <w:r>
        <w:rPr/>
        <w:t xml:space="preserve">order-book depth </w:t>
      </w:r>
    </w:p>
    <w:p>
      <w:pPr>
        <w:pStyle w:val="BodyText"/>
        <w:numPr>
          <w:ilvl w:val="0"/>
          <w:numId w:val="6"/>
        </w:numPr>
        <w:tabs>
          <w:tab w:val="left" w:pos="709" w:leader="none"/>
        </w:tabs>
        <w:bidi w:val="0"/>
        <w:spacing w:before="0" w:after="0"/>
        <w:ind w:hanging="283" w:start="709"/>
        <w:jc w:val="start"/>
        <w:rPr/>
      </w:pPr>
      <w:r>
        <w:rPr/>
        <w:t xml:space="preserve">market impact </w:t>
      </w:r>
    </w:p>
    <w:p>
      <w:pPr>
        <w:pStyle w:val="BodyText"/>
        <w:numPr>
          <w:ilvl w:val="0"/>
          <w:numId w:val="6"/>
        </w:numPr>
        <w:tabs>
          <w:tab w:val="left" w:pos="709" w:leader="none"/>
        </w:tabs>
        <w:bidi w:val="0"/>
        <w:spacing w:before="0" w:after="0"/>
        <w:ind w:hanging="283" w:start="709"/>
        <w:jc w:val="start"/>
        <w:rPr/>
      </w:pPr>
      <w:r>
        <w:rPr/>
        <w:t xml:space="preserve">bid/ask imbalance </w:t>
      </w:r>
    </w:p>
    <w:p>
      <w:pPr>
        <w:pStyle w:val="BodyText"/>
        <w:numPr>
          <w:ilvl w:val="0"/>
          <w:numId w:val="6"/>
        </w:numPr>
        <w:tabs>
          <w:tab w:val="left" w:pos="709" w:leader="none"/>
        </w:tabs>
        <w:bidi w:val="0"/>
        <w:spacing w:before="0" w:after="0"/>
        <w:ind w:hanging="283" w:start="709"/>
        <w:jc w:val="start"/>
        <w:rPr/>
      </w:pPr>
      <w:r>
        <w:rPr/>
        <w:t xml:space="preserve">intraday liquidity </w:t>
      </w:r>
    </w:p>
    <w:p>
      <w:pPr>
        <w:pStyle w:val="BodyText"/>
        <w:numPr>
          <w:ilvl w:val="0"/>
          <w:numId w:val="6"/>
        </w:numPr>
        <w:tabs>
          <w:tab w:val="left" w:pos="709" w:leader="none"/>
        </w:tabs>
        <w:bidi w:val="0"/>
        <w:ind w:hanging="283" w:start="709"/>
        <w:jc w:val="start"/>
        <w:rPr/>
      </w:pPr>
      <w:r>
        <w:rPr/>
        <w:t xml:space="preserve">turnover capacity </w:t>
      </w:r>
    </w:p>
    <w:p>
      <w:pPr>
        <w:pStyle w:val="Heading3"/>
        <w:bidi w:val="0"/>
        <w:jc w:val="start"/>
        <w:rPr/>
      </w:pPr>
      <w:r>
        <w:rPr/>
        <w:t>Breakout detection</w:t>
      </w:r>
    </w:p>
    <w:p>
      <w:pPr>
        <w:pStyle w:val="BodyText"/>
        <w:bidi w:val="0"/>
        <w:jc w:val="start"/>
        <w:rPr/>
      </w:pPr>
      <w:r>
        <w:rPr/>
        <w:t>We haven't explicitly modeled:</w:t>
      </w:r>
    </w:p>
    <w:p>
      <w:pPr>
        <w:pStyle w:val="BodyText"/>
        <w:numPr>
          <w:ilvl w:val="0"/>
          <w:numId w:val="7"/>
        </w:numPr>
        <w:tabs>
          <w:tab w:val="left" w:pos="709" w:leader="none"/>
        </w:tabs>
        <w:bidi w:val="0"/>
        <w:spacing w:before="0" w:after="0"/>
        <w:ind w:hanging="283" w:start="709"/>
        <w:jc w:val="start"/>
        <w:rPr/>
      </w:pPr>
      <w:r>
        <w:rPr/>
        <w:t xml:space="preserve">resistance breakout </w:t>
      </w:r>
    </w:p>
    <w:p>
      <w:pPr>
        <w:pStyle w:val="BodyText"/>
        <w:numPr>
          <w:ilvl w:val="0"/>
          <w:numId w:val="7"/>
        </w:numPr>
        <w:tabs>
          <w:tab w:val="left" w:pos="709" w:leader="none"/>
        </w:tabs>
        <w:bidi w:val="0"/>
        <w:spacing w:before="0" w:after="0"/>
        <w:ind w:hanging="283" w:start="709"/>
        <w:jc w:val="start"/>
        <w:rPr/>
      </w:pPr>
      <w:r>
        <w:rPr/>
        <w:t xml:space="preserve">support breakdown </w:t>
      </w:r>
    </w:p>
    <w:p>
      <w:pPr>
        <w:pStyle w:val="BodyText"/>
        <w:numPr>
          <w:ilvl w:val="0"/>
          <w:numId w:val="7"/>
        </w:numPr>
        <w:tabs>
          <w:tab w:val="left" w:pos="709" w:leader="none"/>
        </w:tabs>
        <w:bidi w:val="0"/>
        <w:spacing w:before="0" w:after="0"/>
        <w:ind w:hanging="283" w:start="709"/>
        <w:jc w:val="start"/>
        <w:rPr/>
      </w:pPr>
      <w:r>
        <w:rPr/>
        <w:t xml:space="preserve">consolidation </w:t>
      </w:r>
    </w:p>
    <w:p>
      <w:pPr>
        <w:pStyle w:val="BodyText"/>
        <w:numPr>
          <w:ilvl w:val="0"/>
          <w:numId w:val="7"/>
        </w:numPr>
        <w:tabs>
          <w:tab w:val="left" w:pos="709" w:leader="none"/>
        </w:tabs>
        <w:bidi w:val="0"/>
        <w:spacing w:before="0" w:after="0"/>
        <w:ind w:hanging="283" w:start="709"/>
        <w:jc w:val="start"/>
        <w:rPr/>
      </w:pPr>
      <w:r>
        <w:rPr/>
        <w:t xml:space="preserve">breakout volume confirmation </w:t>
      </w:r>
    </w:p>
    <w:p>
      <w:pPr>
        <w:pStyle w:val="BodyText"/>
        <w:numPr>
          <w:ilvl w:val="0"/>
          <w:numId w:val="7"/>
        </w:numPr>
        <w:tabs>
          <w:tab w:val="left" w:pos="709" w:leader="none"/>
        </w:tabs>
        <w:bidi w:val="0"/>
        <w:ind w:hanging="283" w:start="709"/>
        <w:jc w:val="start"/>
        <w:rPr/>
      </w:pPr>
      <w:r>
        <w:rPr/>
        <w:t xml:space="preserve">false breakout </w:t>
      </w:r>
    </w:p>
    <w:p>
      <w:pPr>
        <w:pStyle w:val="Heading3"/>
        <w:bidi w:val="0"/>
        <w:jc w:val="start"/>
        <w:rPr/>
      </w:pPr>
      <w:r>
        <w:rPr/>
        <w:t>Support/resistance</w:t>
      </w:r>
    </w:p>
    <w:p>
      <w:pPr>
        <w:pStyle w:val="BodyText"/>
        <w:bidi w:val="0"/>
        <w:jc w:val="start"/>
        <w:rPr/>
      </w:pPr>
      <w:r>
        <w:rPr/>
        <w:t>No explicit:</w:t>
      </w:r>
    </w:p>
    <w:p>
      <w:pPr>
        <w:pStyle w:val="BodyText"/>
        <w:numPr>
          <w:ilvl w:val="0"/>
          <w:numId w:val="8"/>
        </w:numPr>
        <w:tabs>
          <w:tab w:val="left" w:pos="709" w:leader="none"/>
        </w:tabs>
        <w:bidi w:val="0"/>
        <w:spacing w:before="0" w:after="0"/>
        <w:ind w:hanging="283" w:start="709"/>
        <w:jc w:val="start"/>
        <w:rPr/>
      </w:pPr>
      <w:r>
        <w:rPr/>
        <w:t xml:space="preserve">swing high/low detection </w:t>
      </w:r>
    </w:p>
    <w:p>
      <w:pPr>
        <w:pStyle w:val="BodyText"/>
        <w:numPr>
          <w:ilvl w:val="0"/>
          <w:numId w:val="8"/>
        </w:numPr>
        <w:tabs>
          <w:tab w:val="left" w:pos="709" w:leader="none"/>
        </w:tabs>
        <w:bidi w:val="0"/>
        <w:spacing w:before="0" w:after="0"/>
        <w:ind w:hanging="283" w:start="709"/>
        <w:jc w:val="start"/>
        <w:rPr/>
      </w:pPr>
      <w:r>
        <w:rPr/>
        <w:t xml:space="preserve">support zones </w:t>
      </w:r>
    </w:p>
    <w:p>
      <w:pPr>
        <w:pStyle w:val="BodyText"/>
        <w:numPr>
          <w:ilvl w:val="0"/>
          <w:numId w:val="8"/>
        </w:numPr>
        <w:tabs>
          <w:tab w:val="left" w:pos="709" w:leader="none"/>
        </w:tabs>
        <w:bidi w:val="0"/>
        <w:spacing w:before="0" w:after="0"/>
        <w:ind w:hanging="283" w:start="709"/>
        <w:jc w:val="start"/>
        <w:rPr/>
      </w:pPr>
      <w:r>
        <w:rPr/>
        <w:t xml:space="preserve">resistance zones </w:t>
      </w:r>
    </w:p>
    <w:p>
      <w:pPr>
        <w:pStyle w:val="BodyText"/>
        <w:numPr>
          <w:ilvl w:val="0"/>
          <w:numId w:val="8"/>
        </w:numPr>
        <w:tabs>
          <w:tab w:val="left" w:pos="709" w:leader="none"/>
        </w:tabs>
        <w:bidi w:val="0"/>
        <w:spacing w:before="0" w:after="0"/>
        <w:ind w:hanging="283" w:start="709"/>
        <w:jc w:val="start"/>
        <w:rPr/>
      </w:pPr>
      <w:r>
        <w:rPr/>
        <w:t xml:space="preserve">supply/demand zones </w:t>
      </w:r>
    </w:p>
    <w:p>
      <w:pPr>
        <w:pStyle w:val="BodyText"/>
        <w:numPr>
          <w:ilvl w:val="0"/>
          <w:numId w:val="8"/>
        </w:numPr>
        <w:tabs>
          <w:tab w:val="left" w:pos="709" w:leader="none"/>
        </w:tabs>
        <w:bidi w:val="0"/>
        <w:spacing w:before="0" w:after="0"/>
        <w:ind w:hanging="283" w:start="709"/>
        <w:jc w:val="start"/>
        <w:rPr/>
      </w:pPr>
      <w:r>
        <w:rPr/>
        <w:t xml:space="preserve">distance to resistance </w:t>
      </w:r>
    </w:p>
    <w:p>
      <w:pPr>
        <w:pStyle w:val="BodyText"/>
        <w:numPr>
          <w:ilvl w:val="0"/>
          <w:numId w:val="8"/>
        </w:numPr>
        <w:tabs>
          <w:tab w:val="left" w:pos="709" w:leader="none"/>
        </w:tabs>
        <w:bidi w:val="0"/>
        <w:ind w:hanging="283" w:start="709"/>
        <w:jc w:val="start"/>
        <w:rPr/>
      </w:pPr>
      <w:r>
        <w:rPr/>
        <w:t xml:space="preserve">distance to support </w:t>
      </w:r>
    </w:p>
    <w:p>
      <w:pPr>
        <w:pStyle w:val="Heading3"/>
        <w:bidi w:val="0"/>
        <w:jc w:val="start"/>
        <w:rPr/>
      </w:pPr>
      <w:r>
        <w:rPr/>
        <w:t>Related assets</w:t>
      </w:r>
    </w:p>
    <w:p>
      <w:pPr>
        <w:pStyle w:val="BodyText"/>
        <w:bidi w:val="0"/>
        <w:jc w:val="start"/>
        <w:rPr/>
      </w:pPr>
      <w:r>
        <w:rPr/>
        <w:t>The GNN is intended to address relationships, but it isn't yet the sophisticated dynamic related-asset model you're describing.</w:t>
      </w:r>
    </w:p>
    <w:p>
      <w:pPr>
        <w:pStyle w:val="Heading3"/>
        <w:bidi w:val="0"/>
        <w:jc w:val="start"/>
        <w:rPr/>
      </w:pPr>
      <w:r>
        <w:rPr/>
        <w:t>LSTM</w:t>
      </w:r>
    </w:p>
    <w:p>
      <w:pPr>
        <w:pStyle w:val="BodyText"/>
        <w:bidi w:val="0"/>
        <w:jc w:val="start"/>
        <w:rPr/>
      </w:pPr>
      <w:r>
        <w:rPr/>
        <w:t xml:space="preserve">Your current experiment used a </w:t>
      </w:r>
      <w:r>
        <w:rPr>
          <w:rStyle w:val="Strong"/>
        </w:rPr>
        <w:t>TCN</w:t>
      </w:r>
      <w:r>
        <w:rPr/>
        <w:t>, not an LSTM.</w:t>
      </w:r>
    </w:p>
    <w:p>
      <w:pPr>
        <w:pStyle w:val="Heading3"/>
        <w:bidi w:val="0"/>
        <w:jc w:val="start"/>
        <w:rPr/>
      </w:pPr>
      <w:r>
        <w:rPr/>
        <w:t>Intraday microstructure</w:t>
      </w:r>
    </w:p>
    <w:p>
      <w:pPr>
        <w:pStyle w:val="BodyText"/>
        <w:bidi w:val="0"/>
        <w:jc w:val="start"/>
        <w:rPr/>
      </w:pPr>
      <w:r>
        <w:rPr/>
        <w:t>Not yet.</w:t>
      </w:r>
    </w:p>
    <w:p>
      <w:pPr>
        <w:pStyle w:val="Heading3"/>
        <w:bidi w:val="0"/>
        <w:jc w:val="start"/>
        <w:rPr/>
      </w:pPr>
      <w:r>
        <w:rPr/>
        <w:t>Options / derivatives information</w:t>
      </w:r>
    </w:p>
    <w:p>
      <w:pPr>
        <w:pStyle w:val="BodyText"/>
        <w:bidi w:val="0"/>
        <w:jc w:val="start"/>
        <w:rPr/>
      </w:pPr>
      <w:r>
        <w:rPr/>
        <w:t>Not yet.</w:t>
      </w:r>
    </w:p>
    <w:p>
      <w:pPr>
        <w:pStyle w:val="Heading3"/>
        <w:bidi w:val="0"/>
        <w:jc w:val="start"/>
        <w:rPr/>
      </w:pPr>
      <w:r>
        <w:rPr/>
        <w:t>Fundamental information</w:t>
      </w:r>
    </w:p>
    <w:p>
      <w:pPr>
        <w:pStyle w:val="BodyText"/>
        <w:bidi w:val="0"/>
        <w:jc w:val="start"/>
        <w:rPr/>
      </w:pPr>
      <w:r>
        <w:rPr/>
        <w:t>Not meaningfully incorporated into this experiment.</w:t>
      </w:r>
    </w:p>
    <w:p>
      <w:pPr>
        <w:pStyle w:val="HorizontalLine"/>
        <w:bidi w:val="0"/>
        <w:jc w:val="start"/>
        <w:rPr/>
      </w:pPr>
      <w:r>
        <w:rPr/>
      </w:r>
    </w:p>
    <w:p>
      <w:pPr>
        <w:pStyle w:val="Heading1"/>
        <w:bidi w:val="0"/>
        <w:jc w:val="start"/>
        <w:rPr/>
      </w:pPr>
      <w:r>
        <w:rPr/>
        <w:t>22. Experiment 1's final ranking</w:t>
      </w:r>
    </w:p>
    <w:p>
      <w:pPr>
        <w:pStyle w:val="BodyText"/>
        <w:bidi w:val="0"/>
        <w:jc w:val="start"/>
        <w:rPr/>
      </w:pPr>
      <w:r>
        <w:rPr/>
        <w:t>If we rank the models by their strongest tested Sharpe:</w:t>
      </w:r>
    </w:p>
    <w:p>
      <w:pPr>
        <w:pStyle w:val="Heading3"/>
        <w:bidi w:val="0"/>
        <w:jc w:val="start"/>
        <w:rPr/>
      </w:pPr>
      <w:r>
        <w:rPr/>
        <w:t xml:space="preserve">🥇 </w:t>
      </w:r>
      <w:r>
        <w:rPr/>
        <w:t>TCN</w:t>
      </w:r>
    </w:p>
    <w:p>
      <w:pPr>
        <w:pStyle w:val="BodyText"/>
        <w:bidi w:val="0"/>
        <w:jc w:val="start"/>
        <w:rPr/>
      </w:pPr>
      <w:r>
        <w:rPr>
          <w:rStyle w:val="Strong"/>
        </w:rPr>
        <w:t>Top-1 Sharpe = 1.421</w:t>
      </w:r>
    </w:p>
    <w:p>
      <w:pPr>
        <w:pStyle w:val="BodyText"/>
        <w:bidi w:val="0"/>
        <w:jc w:val="start"/>
        <w:rPr/>
      </w:pPr>
      <w:r>
        <w:rPr>
          <w:rStyle w:val="Strong"/>
        </w:rPr>
        <w:t>Top-1 CAGR = 46.00%</w:t>
      </w:r>
    </w:p>
    <w:p>
      <w:pPr>
        <w:pStyle w:val="BodyText"/>
        <w:bidi w:val="0"/>
        <w:jc w:val="start"/>
        <w:rPr/>
      </w:pPr>
      <w:r>
        <w:rPr/>
        <w:t>Very promising.</w:t>
      </w:r>
    </w:p>
    <w:p>
      <w:pPr>
        <w:pStyle w:val="Heading3"/>
        <w:bidi w:val="0"/>
        <w:jc w:val="start"/>
        <w:rPr/>
      </w:pPr>
      <w:r>
        <w:rPr/>
        <w:t xml:space="preserve">🥈 </w:t>
      </w:r>
      <w:r>
        <w:rPr/>
        <w:t>Factor</w:t>
      </w:r>
    </w:p>
    <w:p>
      <w:pPr>
        <w:pStyle w:val="BodyText"/>
        <w:bidi w:val="0"/>
        <w:jc w:val="start"/>
        <w:rPr/>
      </w:pPr>
      <w:r>
        <w:rPr>
          <w:rStyle w:val="Strong"/>
        </w:rPr>
        <w:t>Top-1 Sharpe = 0.987</w:t>
      </w:r>
    </w:p>
    <w:p>
      <w:pPr>
        <w:pStyle w:val="BodyText"/>
        <w:bidi w:val="0"/>
        <w:jc w:val="start"/>
        <w:rPr/>
      </w:pPr>
      <w:r>
        <w:rPr>
          <w:rStyle w:val="Strong"/>
        </w:rPr>
        <w:t>Top-1 CAGR = 27.37%</w:t>
      </w:r>
    </w:p>
    <w:p>
      <w:pPr>
        <w:pStyle w:val="BodyText"/>
        <w:bidi w:val="0"/>
        <w:jc w:val="start"/>
        <w:rPr/>
      </w:pPr>
      <w:r>
        <w:rPr/>
        <w:t>Also strong.</w:t>
      </w:r>
    </w:p>
    <w:p>
      <w:pPr>
        <w:pStyle w:val="Heading3"/>
        <w:bidi w:val="0"/>
        <w:jc w:val="start"/>
        <w:rPr/>
      </w:pPr>
      <w:r>
        <w:rPr/>
        <w:t xml:space="preserve">🥉 </w:t>
      </w:r>
      <w:r>
        <w:rPr/>
        <w:t>LightGBM</w:t>
      </w:r>
    </w:p>
    <w:p>
      <w:pPr>
        <w:pStyle w:val="BodyText"/>
        <w:bidi w:val="0"/>
        <w:jc w:val="start"/>
        <w:rPr/>
      </w:pPr>
      <w:r>
        <w:rPr>
          <w:rStyle w:val="Strong"/>
        </w:rPr>
        <w:t>Top-10 Sharpe = 0.824</w:t>
      </w:r>
    </w:p>
    <w:p>
      <w:pPr>
        <w:pStyle w:val="BodyText"/>
        <w:bidi w:val="0"/>
        <w:jc w:val="start"/>
        <w:rPr/>
      </w:pPr>
      <w:r>
        <w:rPr>
          <w:rStyle w:val="Strong"/>
        </w:rPr>
        <w:t>Top-10 CAGR = 13.02%</w:t>
      </w:r>
    </w:p>
    <w:p>
      <w:pPr>
        <w:pStyle w:val="BodyText"/>
        <w:bidi w:val="0"/>
        <w:jc w:val="start"/>
        <w:rPr/>
      </w:pPr>
      <w:r>
        <w:rPr/>
        <w:t>Reasonably useful.</w:t>
      </w:r>
    </w:p>
    <w:p>
      <w:pPr>
        <w:pStyle w:val="Heading3"/>
        <w:bidi w:val="0"/>
        <w:jc w:val="start"/>
        <w:rPr/>
      </w:pPr>
      <w:r>
        <w:rPr/>
        <w:t>4. Momentum</w:t>
      </w:r>
    </w:p>
    <w:p>
      <w:pPr>
        <w:pStyle w:val="BodyText"/>
        <w:bidi w:val="0"/>
        <w:jc w:val="start"/>
        <w:rPr/>
      </w:pPr>
      <w:r>
        <w:rPr>
          <w:rStyle w:val="Strong"/>
        </w:rPr>
        <w:t>Top-3 Sharpe = 0.813</w:t>
      </w:r>
    </w:p>
    <w:p>
      <w:pPr>
        <w:pStyle w:val="BodyText"/>
        <w:bidi w:val="0"/>
        <w:jc w:val="start"/>
        <w:rPr/>
      </w:pPr>
      <w:r>
        <w:rPr>
          <w:rStyle w:val="Strong"/>
        </w:rPr>
        <w:t>Top-3 CAGR = 13.93%</w:t>
      </w:r>
    </w:p>
    <w:p>
      <w:pPr>
        <w:pStyle w:val="BodyText"/>
        <w:bidi w:val="0"/>
        <w:jc w:val="start"/>
        <w:rPr/>
      </w:pPr>
      <w:r>
        <w:rPr/>
        <w:t>Useful baseline.</w:t>
      </w:r>
    </w:p>
    <w:p>
      <w:pPr>
        <w:pStyle w:val="Heading3"/>
        <w:bidi w:val="0"/>
        <w:jc w:val="start"/>
        <w:rPr/>
      </w:pPr>
      <w:r>
        <w:rPr/>
        <w:t>5. GNN</w:t>
      </w:r>
    </w:p>
    <w:p>
      <w:pPr>
        <w:pStyle w:val="BodyText"/>
        <w:bidi w:val="0"/>
        <w:jc w:val="start"/>
        <w:rPr/>
      </w:pPr>
      <w:r>
        <w:rPr>
          <w:rStyle w:val="Strong"/>
        </w:rPr>
        <w:t>Top-10 Sharpe = 0.448</w:t>
      </w:r>
    </w:p>
    <w:p>
      <w:pPr>
        <w:pStyle w:val="BodyText"/>
        <w:bidi w:val="0"/>
        <w:jc w:val="start"/>
        <w:rPr/>
      </w:pPr>
      <w:r>
        <w:rPr>
          <w:rStyle w:val="Strong"/>
        </w:rPr>
        <w:t>Top-10 CAGR = 6.35%</w:t>
      </w:r>
    </w:p>
    <w:p>
      <w:pPr>
        <w:pStyle w:val="BodyText"/>
        <w:bidi w:val="0"/>
        <w:jc w:val="start"/>
        <w:rPr/>
      </w:pPr>
      <w:r>
        <w:rPr/>
        <w:t>Currently weak.</w:t>
      </w:r>
    </w:p>
    <w:p>
      <w:pPr>
        <w:pStyle w:val="Heading3"/>
        <w:bidi w:val="0"/>
        <w:jc w:val="start"/>
        <w:rPr/>
      </w:pPr>
      <w:r>
        <w:rPr/>
        <w:t>6. Fixed Ensemble</w:t>
      </w:r>
    </w:p>
    <w:p>
      <w:pPr>
        <w:pStyle w:val="BodyText"/>
        <w:bidi w:val="0"/>
        <w:jc w:val="start"/>
        <w:rPr/>
      </w:pPr>
      <w:r>
        <w:rPr>
          <w:rStyle w:val="Strong"/>
        </w:rPr>
        <w:t>Best Sharpe = 0.331</w:t>
      </w:r>
    </w:p>
    <w:p>
      <w:pPr>
        <w:pStyle w:val="BodyText"/>
        <w:bidi w:val="0"/>
        <w:jc w:val="start"/>
        <w:rPr/>
      </w:pPr>
      <w:r>
        <w:rPr>
          <w:rStyle w:val="Strong"/>
        </w:rPr>
        <w:t>Best CAGR = 5.04%</w:t>
      </w:r>
    </w:p>
    <w:p>
      <w:pPr>
        <w:pStyle w:val="BodyText"/>
        <w:bidi w:val="0"/>
        <w:jc w:val="start"/>
        <w:rPr/>
      </w:pPr>
      <w:r>
        <w:rPr/>
        <w:t>Currently disappointing.</w:t>
      </w:r>
    </w:p>
    <w:p>
      <w:pPr>
        <w:pStyle w:val="HorizontalLine"/>
        <w:bidi w:val="0"/>
        <w:jc w:val="start"/>
        <w:rPr/>
      </w:pPr>
      <w:r>
        <w:rPr/>
      </w:r>
    </w:p>
    <w:p>
      <w:pPr>
        <w:pStyle w:val="Heading1"/>
        <w:bidi w:val="0"/>
        <w:jc w:val="start"/>
        <w:rPr/>
      </w:pPr>
      <w:r>
        <w:rPr/>
        <w:t>23. Main conclusion of Experiment 1</w:t>
      </w:r>
    </w:p>
    <w:p>
      <w:pPr>
        <w:pStyle w:val="BodyText"/>
        <w:bidi w:val="0"/>
        <w:jc w:val="start"/>
        <w:rPr/>
      </w:pPr>
      <w:r>
        <w:rPr/>
        <w:t>I would write the scientific conclusion approximately like this:</w:t>
      </w:r>
    </w:p>
    <w:p>
      <w:pPr>
        <w:pStyle w:val="BlockQuotationuser"/>
        <w:bidi w:val="0"/>
        <w:jc w:val="start"/>
        <w:rPr/>
      </w:pPr>
      <w:r>
        <w:rPr>
          <w:rStyle w:val="Strong"/>
        </w:rPr>
        <w:t>Experiment 1 demonstrates that temporal, factor-based, momentum, tree-based, and graph-based approaches exhibit substantially different cross-sectional predictive and portfolio characteristics. Among the tested models, the TCN achieved the strongest risk-adjusted performance, while the GNN underperformed. Importantly, the fixed-weight ensemble failed to outperform the strongest individual models, indicating that model diversity alone does not guarantee ensemble improvement. This motivates an adaptive ensemble framework in which model contributions vary according to their estimated reliability and market conditions.</w:t>
      </w:r>
    </w:p>
    <w:p>
      <w:pPr>
        <w:pStyle w:val="BodyText"/>
        <w:bidi w:val="0"/>
        <w:jc w:val="start"/>
        <w:rPr/>
      </w:pPr>
      <w:r>
        <w:rPr/>
        <w:t xml:space="preserve">That's a </w:t>
      </w:r>
      <w:r>
        <w:rPr>
          <w:rStyle w:val="Strong"/>
        </w:rPr>
        <w:t>much better research conclusion</w:t>
      </w:r>
      <w:r>
        <w:rPr/>
        <w:t xml:space="preserve"> than simply saying "TCN achieved 46% CAGR."</w:t>
      </w:r>
    </w:p>
    <w:p>
      <w:pPr>
        <w:pStyle w:val="Normal"/>
        <w:bidi w:val="0"/>
        <w:jc w:val="start"/>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2</Pages>
  <Words>1900</Words>
  <Characters>10501</Characters>
  <CharactersWithSpaces>12317</CharactersWithSpaces>
  <Paragraphs>584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2026-08-31T15:33:25Z</dcterms:created>
  <dc:creator/>
  <dc:description/>
  <dc:language>en-US</dc:language>
  <cp:lastModifiedBy/>
  <dcterms:modified xsi:type="dcterms:W3CDTF">2026-08-31T15:34:27Z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