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6B7280"/>
          <w:sz w:val="22"/>
          <w:szCs w:val="22"/>
        </w:rPr>
        <w:t xml:space="preserve">GBU IT CELL INTERN RECRUITMENT</w:t>
      </w:r>
    </w:p>
    <w:p>
      <w:pPr>
        <w:spacing w:after="60" w:before="60"/>
        <w:jc w:val="center"/>
      </w:pPr>
      <w:r>
        <w:rPr>
          <w:b/>
          <w:bCs/>
          <w:color w:val="16233F"/>
          <w:sz w:val="44"/>
          <w:szCs w:val="44"/>
        </w:rPr>
        <w:t xml:space="preserve">GBU Grievance Assistant</w:t>
      </w:r>
    </w:p>
    <w:p>
      <w:pPr>
        <w:spacing w:after="260"/>
        <w:jc w:val="center"/>
      </w:pPr>
      <w:r>
        <w:rPr>
          <w:b/>
          <w:bCs/>
          <w:color w:val="C79A3C"/>
          <w:sz w:val="24"/>
          <w:szCs w:val="24"/>
        </w:rPr>
        <w:t xml:space="preserve">An AI Chatbot for the Grievance Management &amp; Ticket Tracking System (RAG + Groq)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350"/>
        <w:gridCol w:w="2350"/>
        <w:gridCol w:w="2350"/>
      </w:tblGrid>
      <w:tr>
        <w:tc>
          <w:tcPr>
            <w:tcW w:type="dxa" w:w="2350"/>
          </w:tcPr>
          <w:p>
            <w:pPr>
              <w:spacing w:after="1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Role</w:t>
            </w:r>
          </w:p>
        </w:tc>
        <w:tc>
          <w:tcPr>
            <w:tcW w:type="dxa" w:w="2350"/>
          </w:tcPr>
          <w:p>
            <w:pPr>
              <w:spacing w:after="140"/>
            </w:pPr>
            <w:r>
              <w:rPr>
                <w:sz w:val="18"/>
                <w:szCs w:val="18"/>
              </w:rPr>
              <w:t xml:space="preserve">AI Chatbot Development &amp; Deployment</w:t>
            </w:r>
          </w:p>
        </w:tc>
        <w:tc>
          <w:tcPr>
            <w:tcW w:type="dxa" w:w="2350"/>
          </w:tcPr>
          <w:p>
            <w:pPr>
              <w:spacing w:after="1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Stack</w:t>
            </w:r>
          </w:p>
        </w:tc>
        <w:tc>
          <w:tcPr>
            <w:tcW w:type="dxa" w:w="2350"/>
          </w:tcPr>
          <w:p>
            <w:pPr>
              <w:spacing w:after="140"/>
            </w:pPr>
            <w:r>
              <w:rPr>
                <w:sz w:val="18"/>
                <w:szCs w:val="18"/>
              </w:rPr>
              <w:t xml:space="preserve">Python / Flask / Groq / SQLite</w:t>
            </w:r>
          </w:p>
        </w:tc>
      </w:tr>
      <w:tr>
        <w:tc>
          <w:tcPr>
            <w:tcW w:type="dxa" w:w="2350"/>
          </w:tcPr>
          <w:p>
            <w:pPr>
              <w:spacing w:after="1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Applicant</w:t>
            </w:r>
          </w:p>
        </w:tc>
        <w:tc>
          <w:tcPr>
            <w:tcW w:type="dxa" w:w="2350"/>
          </w:tcPr>
          <w:p>
            <w:pPr>
              <w:spacing w:after="140"/>
            </w:pPr>
            <w:r>
              <w:rPr>
                <w:sz w:val="18"/>
                <w:szCs w:val="18"/>
              </w:rPr>
              <w:t xml:space="preserve">[Your Name]</w:t>
            </w:r>
          </w:p>
        </w:tc>
        <w:tc>
          <w:tcPr>
            <w:tcW w:type="dxa" w:w="2350"/>
          </w:tcPr>
          <w:p>
            <w:pPr>
              <w:spacing w:after="1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Contact</w:t>
            </w:r>
          </w:p>
        </w:tc>
        <w:tc>
          <w:tcPr>
            <w:tcW w:type="dxa" w:w="2350"/>
          </w:tcPr>
          <w:p>
            <w:pPr>
              <w:spacing w:after="140"/>
            </w:pPr>
            <w:r>
              <w:rPr>
                <w:sz w:val="18"/>
                <w:szCs w:val="18"/>
              </w:rPr>
              <w:t xml:space="preserve">[Your Email / Phone]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79A3C" w:sz="6" w:space="4"/>
        </w:pBdr>
        <w:spacing w:after="140" w:before="320"/>
      </w:pPr>
      <w:r>
        <w:rPr>
          <w:b/>
          <w:bCs/>
          <w:color w:val="16233F"/>
        </w:rPr>
        <w:t xml:space="preserve">1. Objective</w:t>
      </w:r>
    </w:p>
    <w:p>
      <w:pPr>
        <w:spacing w:after="140"/>
      </w:pPr>
      <w:r>
        <w:rPr>
          <w:sz w:val="21"/>
          <w:szCs w:val="21"/>
        </w:rPr>
        <w:t xml:space="preserve">An AI-powered assistant embedded in the GBU Grievance Management &amp; Ticket Tracking System that can: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Assist students in submitting a grievance through natural conversation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Let students track grievance status using their Ticket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Answer grievance-related FAQs, grounded in an actual knowledge base (not hallucinated)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Guide users through the overall grievance process</w:t>
      </w:r>
    </w:p>
    <w:p>
      <w:pPr>
        <w:spacing w:after="140"/>
      </w:pPr>
      <w:r>
        <w:rPr>
          <w:sz w:val="21"/>
          <w:szCs w:val="21"/>
        </w:rPr>
        <w:t xml:space="preserve">The design goal was a bot a real Grievance Cell could trust: every FAQ answer is traceable back to a specific knowledge-base entry, and every submit/track action is backed by a real, queryable ticket record.</w:t>
      </w:r>
    </w:p>
    <w:p>
      <w:pPr>
        <w:pStyle w:val="Heading1"/>
        <w:pBdr>
          <w:bottom w:val="single" w:color="C79A3C" w:sz="6" w:space="4"/>
        </w:pBdr>
        <w:spacing w:after="140" w:before="320"/>
      </w:pPr>
      <w:r>
        <w:rPr>
          <w:b/>
          <w:bCs/>
          <w:color w:val="16233F"/>
        </w:rPr>
        <w:t xml:space="preserve">2. Chatbot Architecture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+------------------------------------------+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BROWSER (HTML / CSS / JS)               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Chat UI - quick replies - ticket stub   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+------------------------------------------+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              | POST /api/chat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              v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+------------------------------------------+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FLASK APP  (app.py)                     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/api/chat   /admin   /admin/status      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+------------------------------------------+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              v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+-----------------------------------------------+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chatbot.py  --  Conversation Manager         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                                             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1. Intent detection (greeting / submit /     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   track / faq) from message + session       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2. Slot-filling for submissions:             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   category -&gt; description -&gt; name -&gt; email  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3. Delegates to RAG engine or Database       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+-----------------------------------------------+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               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         +-------------------------------------+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         v                                     v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+--------------------------------+    +--------------------------------+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rag_engine.py                  |    | database.py                   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                               |    |                               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Retriever                      |    | SQLite tables:                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 - TF-IDF vectors              |    |  - tickets                    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 - cosine similarity           |    |  - notifications              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                               |    |                               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generate_answer()              |    | Triggers emailer.py           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 - calls Groq (Llama 3.3)      |    | on submit &amp; status            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 - falls back to KB text       |    | change (SMTP)                 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+--------------------------------+    +--------------------------------+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         v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data/knowledge_base.json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(15 curated grievance-policy entries)</w:t>
      </w:r>
    </w:p>
    <w:p>
      <w:pPr>
        <w:spacing w:after="140" w:before="160"/>
      </w:pPr>
      <w:r>
        <w:rPr>
          <w:b/>
          <w:bCs/>
          <w:sz w:val="21"/>
          <w:szCs w:val="21"/>
        </w:rPr>
        <w:t xml:space="preserve">Why TF-IDF for retrieval? </w:t>
      </w:r>
      <w:r>
        <w:rPr>
          <w:sz w:val="21"/>
          <w:szCs w:val="21"/>
        </w:rPr>
        <w:t xml:space="preserve">It runs fully offline and deterministically, needs no API key, and every retrieval score is explainable. The Retriever class is isolated so it can be swapped for sentence-embeddings later without touching the conversation manager.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Why Groq for generation? </w:t>
      </w:r>
      <w:r>
        <w:rPr>
          <w:sz w:val="21"/>
          <w:szCs w:val="21"/>
        </w:rPr>
        <w:t xml:space="preserve">Groq's Llama 3.3 70B endpoint provides fast, low-latency inference well suited to a chat UI. The system prompt instructs the model to answer only from retrieved context, which is what keeps it grounded instead of inventing grievance policy. If GROQ_API_KEY is not set, or the call fails, the app automatically falls back to a deterministic KB-template answer -- the bot never goes down because of the LLM provider.</w:t>
      </w:r>
    </w:p>
    <w:p>
      <w:pPr>
        <w:pStyle w:val="Heading1"/>
        <w:pBdr>
          <w:bottom w:val="single" w:color="C79A3C" w:sz="6" w:space="4"/>
        </w:pBdr>
        <w:spacing w:after="140" w:before="320"/>
      </w:pPr>
      <w:r>
        <w:rPr>
          <w:b/>
          <w:bCs/>
          <w:color w:val="16233F"/>
        </w:rPr>
        <w:t xml:space="preserve">3. Conversation Flow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+------------+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Start     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+------------+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v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+----------------------------------------------+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Detect intent from message + session state  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+----------------------------------------------+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                 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+--------+-------+--------+---------+--------+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v        v       v        v       v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greeting    goodbye   track_status  submit_gr.     faq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Each branch always loops back to 'Detect intent' for the user's next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message, so a user can type 'cancel' mid-flow or ask an unrelated FAQ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question mid-submission and the bot recovers gracefully.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submit_grievance branch (slot-filling):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+------------------------------------------------------------+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category -&gt; description -&gt; name -&gt; email                  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-&gt; database.create_ticket() -&gt; emailer.send_email()       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-&gt; reply with Ticket ID (rendered as a ticket-stub card)  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+------------------------------------------------------------+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track_status branch: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+------------------------------------------------------------+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extract Ticket ID from message (regex) or ask for it      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-&gt; database.get_ticket(id) -&gt; reply with status           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+------------------------------------------------------------+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faq branch (RAG):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+------------------------------------------------------------+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Retriever.retrieve(message) -&gt; top-k KB matches           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-&gt; score &gt;= threshold?                                    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     yes -&gt; call_llm(Groq) if configured, else KB template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|      no  -&gt; "I don't know, contact IT Cell"                |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+------------------------------------------------------------+</w:t>
      </w:r>
    </w:p>
    <w:p>
      <w:pPr>
        <w:pStyle w:val="Heading1"/>
        <w:pBdr>
          <w:bottom w:val="single" w:color="C79A3C" w:sz="6" w:space="4"/>
        </w:pBdr>
        <w:spacing w:after="140" w:before="320"/>
      </w:pPr>
      <w:r>
        <w:rPr>
          <w:b/>
          <w:bCs/>
          <w:color w:val="16233F"/>
        </w:rPr>
        <w:t xml:space="preserve">4. Prompt Design</w:t>
      </w:r>
    </w:p>
    <w:p>
      <w:pPr>
        <w:spacing w:after="140"/>
      </w:pPr>
      <w:r>
        <w:rPr>
          <w:sz w:val="21"/>
          <w:szCs w:val="21"/>
        </w:rPr>
        <w:t xml:space="preserve">This is the exact system prompt sent to Groq (rag_engine.py :: SYSTEM_PROMPT), with retrieved KB passages injected as context per request: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SYSTEM: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You are the GBU Grievance Assistant, a helpful, concise assistant for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Gautam Buddha University's Grievance Management System. Answer only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using the CONTEXT provided below. If the context does not contain the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answer, say you don't know and suggest contacting the IT Cell /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Grievance Redressal Committee. Never invent policy, timelines, or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procedures that are not in the context. Keep answers under 4 sentences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unless the user asks for detail. Do not repeat the user's question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back to them.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CONTEXT: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[1] (Timelines) Most grievances are acknowledged within 24-48 hours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and resolved within 7 working days...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[2] (Notifications) The system sends a mandatory email notification...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USER QUESTION: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{{ user_message }}</w:t>
      </w:r>
    </w:p>
    <w:p>
      <w:pPr>
        <w:spacing w:after="140"/>
      </w:pPr>
      <w:r>
        <w:rPr>
          <w:sz w:val="21"/>
          <w:szCs w:val="21"/>
        </w:rPr>
        <w:t xml:space="preserve">When no key is configured (or the call fails), generate_answer() falls back to the best-matching KB answer verbatim plus a related follow-up -- the same context-only, no-hallucination guarantee, just without LLM phrasing. The response payload includes a mode field ("llm" or "template") so this is visible/debuggable rather than silent.</w:t>
      </w:r>
    </w:p>
    <w:p>
      <w:pPr>
        <w:pStyle w:val="Heading1"/>
        <w:pBdr>
          <w:bottom w:val="single" w:color="C79A3C" w:sz="6" w:space="4"/>
        </w:pBdr>
        <w:spacing w:after="140" w:before="320"/>
      </w:pPr>
      <w:r>
        <w:rPr>
          <w:b/>
          <w:bCs/>
          <w:color w:val="16233F"/>
        </w:rPr>
        <w:t xml:space="preserve">5. Knowledge Base Structure</w:t>
      </w:r>
    </w:p>
    <w:p>
      <w:pPr>
        <w:spacing w:after="140"/>
      </w:pPr>
      <w:r>
        <w:rPr>
          <w:sz w:val="21"/>
          <w:szCs w:val="21"/>
        </w:rPr>
        <w:t xml:space="preserve">data/knowledge_base.json is an array of entries shaped like this: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{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"id": "kb006",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"category": "Timelines",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"question": "How long does it take to resolve a grievance?",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"answer": "Most grievances are acknowledged within 24-48 hours...",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"keywords": ["how long", "resolution time", "turnaround", "sla"]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}</w:t>
      </w:r>
    </w:p>
    <w:p>
      <w:pPr>
        <w:spacing w:after="140"/>
      </w:pPr>
      <w:r>
        <w:rPr>
          <w:sz w:val="21"/>
          <w:szCs w:val="21"/>
        </w:rPr>
        <w:t xml:space="preserve">question and keywords are weighted 3x/2x over answer in the TF-IDF corpus, since real user queries resemble questions and keywords far more than they resemble finished answers. The current knowledge base has 15 entries: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600"/>
      </w:tblGrid>
      <w:tr>
        <w:trPr>
          <w:tblHeader/>
        </w:trPr>
        <w:tc>
          <w:tcPr>
            <w:tcW w:type="dxa" w:w="1800"/>
            <w:shd w:fill="16233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600"/>
            <w:shd w:fill="16233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 covered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Getting Started</w:t>
            </w:r>
          </w:p>
        </w:tc>
        <w:tc>
          <w:tcPr>
            <w:tcW w:type="dxa" w:w="7600"/>
          </w:tcPr>
          <w:p>
            <w:r>
              <w:rPr>
                <w:sz w:val="18"/>
                <w:szCs w:val="18"/>
              </w:rPr>
              <w:t xml:space="preserve">How do I submit a grievance?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Getting Started</w:t>
            </w:r>
          </w:p>
        </w:tc>
        <w:tc>
          <w:tcPr>
            <w:tcW w:type="dxa" w:w="7600"/>
          </w:tcPr>
          <w:p>
            <w:r>
              <w:rPr>
                <w:sz w:val="18"/>
                <w:szCs w:val="18"/>
              </w:rPr>
              <w:t xml:space="preserve">What information do I need to file a grievance?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Ticket ID</w:t>
            </w:r>
          </w:p>
        </w:tc>
        <w:tc>
          <w:tcPr>
            <w:tcW w:type="dxa" w:w="7600"/>
          </w:tcPr>
          <w:p>
            <w:r>
              <w:rPr>
                <w:sz w:val="18"/>
                <w:szCs w:val="18"/>
              </w:rPr>
              <w:t xml:space="preserve">What is a Ticket ID and where do I get it?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Tracking</w:t>
            </w:r>
          </w:p>
        </w:tc>
        <w:tc>
          <w:tcPr>
            <w:tcW w:type="dxa" w:w="7600"/>
          </w:tcPr>
          <w:p>
            <w:r>
              <w:rPr>
                <w:sz w:val="18"/>
                <w:szCs w:val="18"/>
              </w:rPr>
              <w:t xml:space="preserve">How can I track the status of my grievance?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Tracking</w:t>
            </w:r>
          </w:p>
        </w:tc>
        <w:tc>
          <w:tcPr>
            <w:tcW w:type="dxa" w:w="7600"/>
          </w:tcPr>
          <w:p>
            <w:r>
              <w:rPr>
                <w:sz w:val="18"/>
                <w:szCs w:val="18"/>
              </w:rPr>
              <w:t xml:space="preserve">What do the grievance statuses mean?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Timelines</w:t>
            </w:r>
          </w:p>
        </w:tc>
        <w:tc>
          <w:tcPr>
            <w:tcW w:type="dxa" w:w="7600"/>
          </w:tcPr>
          <w:p>
            <w:r>
              <w:rPr>
                <w:sz w:val="18"/>
                <w:szCs w:val="18"/>
              </w:rPr>
              <w:t xml:space="preserve">How long does it take to resolve a grievance?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7600"/>
          </w:tcPr>
          <w:p>
            <w:r>
              <w:rPr>
                <w:sz w:val="18"/>
                <w:szCs w:val="18"/>
              </w:rPr>
              <w:t xml:space="preserve">Will I get notified about updates to my grievance?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Categories</w:t>
            </w:r>
          </w:p>
        </w:tc>
        <w:tc>
          <w:tcPr>
            <w:tcW w:type="dxa" w:w="7600"/>
          </w:tcPr>
          <w:p>
            <w:r>
              <w:rPr>
                <w:sz w:val="18"/>
                <w:szCs w:val="18"/>
              </w:rPr>
              <w:t xml:space="preserve">What categories of grievances can I file?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Escalation</w:t>
            </w:r>
          </w:p>
        </w:tc>
        <w:tc>
          <w:tcPr>
            <w:tcW w:type="dxa" w:w="7600"/>
          </w:tcPr>
          <w:p>
            <w:r>
              <w:rPr>
                <w:sz w:val="18"/>
                <w:szCs w:val="18"/>
              </w:rPr>
              <w:t xml:space="preserve">What if my grievance is not resolved on time?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Editing</w:t>
            </w:r>
          </w:p>
        </w:tc>
        <w:tc>
          <w:tcPr>
            <w:tcW w:type="dxa" w:w="7600"/>
          </w:tcPr>
          <w:p>
            <w:r>
              <w:rPr>
                <w:sz w:val="18"/>
                <w:szCs w:val="18"/>
              </w:rPr>
              <w:t xml:space="preserve">Can I edit or withdraw a grievance after submitting it?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Privacy</w:t>
            </w:r>
          </w:p>
        </w:tc>
        <w:tc>
          <w:tcPr>
            <w:tcW w:type="dxa" w:w="7600"/>
          </w:tcPr>
          <w:p>
            <w:r>
              <w:rPr>
                <w:sz w:val="18"/>
                <w:szCs w:val="18"/>
              </w:rPr>
              <w:t xml:space="preserve">Is my grievance confidential?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Account</w:t>
            </w:r>
          </w:p>
        </w:tc>
        <w:tc>
          <w:tcPr>
            <w:tcW w:type="dxa" w:w="7600"/>
          </w:tcPr>
          <w:p>
            <w:r>
              <w:rPr>
                <w:sz w:val="18"/>
                <w:szCs w:val="18"/>
              </w:rPr>
              <w:t xml:space="preserve">Do I need to log in to submit a grievance?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Support</w:t>
            </w:r>
          </w:p>
        </w:tc>
        <w:tc>
          <w:tcPr>
            <w:tcW w:type="dxa" w:w="7600"/>
          </w:tcPr>
          <w:p>
            <w:r>
              <w:rPr>
                <w:sz w:val="18"/>
                <w:szCs w:val="18"/>
              </w:rPr>
              <w:t xml:space="preserve">Who do I contact for urgent issues?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Technical</w:t>
            </w:r>
          </w:p>
        </w:tc>
        <w:tc>
          <w:tcPr>
            <w:tcW w:type="dxa" w:w="7600"/>
          </w:tcPr>
          <w:p>
            <w:r>
              <w:rPr>
                <w:sz w:val="18"/>
                <w:szCs w:val="18"/>
              </w:rPr>
              <w:t xml:space="preserve">The portal is not loading or showing an error, what do I do?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Fee</w:t>
            </w:r>
          </w:p>
        </w:tc>
        <w:tc>
          <w:tcPr>
            <w:tcW w:type="dxa" w:w="7600"/>
          </w:tcPr>
          <w:p>
            <w:r>
              <w:rPr>
                <w:sz w:val="18"/>
                <w:szCs w:val="18"/>
              </w:rPr>
              <w:t xml:space="preserve">I was charged incorrectly, how do I raise a fee grievance?</w:t>
            </w:r>
          </w:p>
        </w:tc>
      </w:tr>
    </w:tbl>
    <w:p>
      <w:pPr>
        <w:pStyle w:val="Heading1"/>
        <w:pBdr>
          <w:bottom w:val="single" w:color="C79A3C" w:sz="6" w:space="4"/>
        </w:pBdr>
        <w:spacing w:after="140" w:before="320"/>
      </w:pPr>
      <w:r>
        <w:rPr>
          <w:b/>
          <w:bCs/>
          <w:color w:val="16233F"/>
        </w:rPr>
        <w:t xml:space="preserve">6. Real Integrations Added</w:t>
      </w:r>
    </w:p>
    <w:p>
      <w:pPr>
        <w:pStyle w:val="Heading2"/>
        <w:spacing w:after="100" w:before="220"/>
      </w:pPr>
      <w:r>
        <w:rPr>
          <w:b/>
          <w:bCs/>
          <w:color w:val="16233F"/>
        </w:rPr>
        <w:t xml:space="preserve">6.1  Groq LLM (generation)</w:t>
      </w:r>
    </w:p>
    <w:p>
      <w:pPr>
        <w:spacing w:after="140"/>
      </w:pPr>
      <w:r>
        <w:rPr>
          <w:sz w:val="21"/>
          <w:szCs w:val="21"/>
        </w:rPr>
        <w:t xml:space="preserve">Set an API key (free tier available at console.groq.com) and install the SDK: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export GROQ_API_KEY="your-key-here"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pip install -r requirements.txt   # now includes the groq SDK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python app.py</w:t>
      </w:r>
    </w:p>
    <w:p>
      <w:pPr>
        <w:pStyle w:val="Heading2"/>
        <w:spacing w:after="100" w:before="220"/>
      </w:pPr>
      <w:r>
        <w:rPr>
          <w:b/>
          <w:bCs/>
          <w:color w:val="16233F"/>
        </w:rPr>
        <w:t xml:space="preserve">6.2  SMTP email notifications</w:t>
      </w:r>
    </w:p>
    <w:p>
      <w:pPr>
        <w:spacing w:after="140"/>
      </w:pPr>
      <w:r>
        <w:rPr>
          <w:sz w:val="21"/>
          <w:szCs w:val="21"/>
        </w:rPr>
        <w:t xml:space="preserve">The "Grievance Submitted" and "Status Updated" emails are sent for real via emailer.py using smtplib, configured entirely through environment variables: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export SMTP_HOST="smtp.gmail.com"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export SMTP_PORT="587"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export SMTP_USER="your.address@gmail.com"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export SMTP_PASSWORD="16-char app password"</w:t>
      </w:r>
    </w:p>
    <w:p>
      <w:pPr>
        <w:spacing w:after="140"/>
      </w:pPr>
      <w:r>
        <w:rPr>
          <w:sz w:val="21"/>
          <w:szCs w:val="21"/>
        </w:rPr>
        <w:t xml:space="preserve">For Gmail, generate an App Password (Google Account -&gt; Security -&gt; 2-Step Verification -&gt; App Passwords) rather than using the normal account password. If these variables aren't set, every notification is still recorded in the notifications table (delivered=0) so the requirement stays visibly wired end-to-end, and the app remains fully runnable with zero setup for a quick demo.</w:t>
      </w:r>
    </w:p>
    <w:p>
      <w:pPr>
        <w:pStyle w:val="Heading1"/>
        <w:pBdr>
          <w:bottom w:val="single" w:color="C79A3C" w:sz="6" w:space="4"/>
        </w:pBdr>
        <w:spacing w:after="140" w:before="320"/>
      </w:pPr>
      <w:r>
        <w:rPr>
          <w:b/>
          <w:bCs/>
          <w:color w:val="16233F"/>
        </w:rPr>
        <w:t xml:space="preserve">7. Project Structure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gbu-chatbot/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app.py                   Flask routes (chat API, admin demo view)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chatbot.py                Conversation manager: intents, slot-filling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rag_engine.py               Retriever (TF-IDF) + Groq LLM call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emailer.py                    Real SMTP email sending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database.py                     SQLite: tickets + notifications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data/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knowledge_base.json             RAG knowledge base (15 entries)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templates/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index.html                        Chat UI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admin.html                          Demo admin view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static/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style.css                            GBU-branded styling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script.js                              Chat interactivity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  requirements.txt</w:t>
      </w:r>
    </w:p>
    <w:p>
      <w:pPr>
        <w:pStyle w:val="Heading1"/>
        <w:pBdr>
          <w:bottom w:val="single" w:color="C79A3C" w:sz="6" w:space="4"/>
        </w:pBdr>
        <w:spacing w:after="140" w:before="320"/>
      </w:pPr>
      <w:r>
        <w:rPr>
          <w:b/>
          <w:bCs/>
          <w:color w:val="16233F"/>
        </w:rPr>
        <w:t xml:space="preserve">8. Running the Prototype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pip install -r requirements.txt</w:t>
      </w:r>
    </w:p>
    <w:p>
      <w:pPr>
        <w:pBdr>
          <w:left w:val="single" w:color="C79A3C" w:sz="18" w:space="6"/>
        </w:pBdr>
        <w:shd w:fill="F5F4EF" w:val="clear"/>
        <w:spacing w:after="0" w:line="240"/>
        <w:ind w:left="215" w:right="215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python app.py</w:t>
      </w:r>
    </w:p>
    <w:p>
      <w:pPr>
        <w:spacing w:after="140"/>
      </w:pPr>
      <w:r>
        <w:rPr>
          <w:sz w:val="21"/>
          <w:szCs w:val="21"/>
        </w:rPr>
        <w:t xml:space="preserve">Then open http://127.0.0.1:5000 for the chat assistant, and http://127.0.0.1:5000/admin to see submitted tickets and simulate an admin updating status.</w:t>
      </w:r>
    </w:p>
    <w:p>
      <w:pPr>
        <w:pStyle w:val="Heading1"/>
        <w:pBdr>
          <w:bottom w:val="single" w:color="C79A3C" w:sz="6" w:space="4"/>
        </w:pBdr>
        <w:spacing w:after="140" w:before="320"/>
      </w:pPr>
      <w:r>
        <w:rPr>
          <w:b/>
          <w:bCs/>
          <w:color w:val="16233F"/>
        </w:rPr>
        <w:t xml:space="preserve">9. Evaluation Criteria Self-Check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rPr>
          <w:tblHeader/>
        </w:trPr>
        <w:tc>
          <w:tcPr>
            <w:tcW w:type="dxa" w:w="2500"/>
            <w:shd w:fill="16233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Criteria</w:t>
            </w:r>
          </w:p>
        </w:tc>
        <w:tc>
          <w:tcPr>
            <w:tcW w:type="dxa" w:w="2500"/>
            <w:shd w:fill="16233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this prototype addresses it</w:t>
            </w:r>
          </w:p>
        </w:tc>
      </w:tr>
      <w:tr>
        <w:tc>
          <w:tcPr>
            <w:tcW w:type="dxa" w:w="2500"/>
          </w:tcPr>
          <w:p>
            <w:r>
              <w:rPr>
                <w:sz w:val="19"/>
                <w:szCs w:val="19"/>
              </w:rPr>
              <w:t xml:space="preserve">Problem Understanding</w:t>
            </w:r>
          </w:p>
        </w:tc>
        <w:tc>
          <w:tcPr>
            <w:tcW w:type="dxa" w:w="6900"/>
          </w:tcPr>
          <w:p>
            <w:r>
              <w:rPr>
                <w:sz w:val="19"/>
                <w:szCs w:val="19"/>
              </w:rPr>
              <w:t xml:space="preserve">Bot covers all 4 required capabilities: submit, track, FAQ, guidance</w:t>
            </w:r>
          </w:p>
        </w:tc>
      </w:tr>
      <w:tr>
        <w:tc>
          <w:tcPr>
            <w:tcW w:type="dxa" w:w="2500"/>
          </w:tcPr>
          <w:p>
            <w:r>
              <w:rPr>
                <w:sz w:val="19"/>
                <w:szCs w:val="19"/>
              </w:rPr>
              <w:t xml:space="preserve">Creativity &amp; Innovation</w:t>
            </w:r>
          </w:p>
        </w:tc>
        <w:tc>
          <w:tcPr>
            <w:tcW w:type="dxa" w:w="6900"/>
          </w:tcPr>
          <w:p>
            <w:r>
              <w:rPr>
                <w:sz w:val="19"/>
                <w:szCs w:val="19"/>
              </w:rPr>
              <w:t xml:space="preserve">Ticket-stub UI motif, RAG source-citation chips, graceful mid-flow interruption, generation-mode badge (Groq vs. KB fallback)</w:t>
            </w:r>
          </w:p>
        </w:tc>
      </w:tr>
      <w:tr>
        <w:tc>
          <w:tcPr>
            <w:tcW w:type="dxa" w:w="2500"/>
          </w:tcPr>
          <w:p>
            <w:r>
              <w:rPr>
                <w:sz w:val="19"/>
                <w:szCs w:val="19"/>
              </w:rPr>
              <w:t xml:space="preserve">Technical Approach</w:t>
            </w:r>
          </w:p>
        </w:tc>
        <w:tc>
          <w:tcPr>
            <w:tcW w:type="dxa" w:w="6900"/>
          </w:tcPr>
          <w:p>
            <w:r>
              <w:rPr>
                <w:sz w:val="19"/>
                <w:szCs w:val="19"/>
              </w:rPr>
              <w:t xml:space="preserve">Real RAG pipeline (TF-IDF retrieval + Groq LLM generation), DB-backed tickets, real SMTP notifications, clean separation of concerns</w:t>
            </w:r>
          </w:p>
        </w:tc>
      </w:tr>
      <w:tr>
        <w:tc>
          <w:tcPr>
            <w:tcW w:type="dxa" w:w="2500"/>
          </w:tcPr>
          <w:p>
            <w:r>
              <w:rPr>
                <w:sz w:val="19"/>
                <w:szCs w:val="19"/>
              </w:rPr>
              <w:t xml:space="preserve">Documentation Quality</w:t>
            </w:r>
          </w:p>
        </w:tc>
        <w:tc>
          <w:tcPr>
            <w:tcW w:type="dxa" w:w="6900"/>
          </w:tcPr>
          <w:p>
            <w:r>
              <w:rPr>
                <w:sz w:val="19"/>
                <w:szCs w:val="19"/>
              </w:rPr>
              <w:t xml:space="preserve">This document: architecture, flow, prompt design, KB structure</w:t>
            </w:r>
          </w:p>
        </w:tc>
      </w:tr>
      <w:tr>
        <w:tc>
          <w:tcPr>
            <w:tcW w:type="dxa" w:w="2500"/>
          </w:tcPr>
          <w:p>
            <w:r>
              <w:rPr>
                <w:sz w:val="19"/>
                <w:szCs w:val="19"/>
              </w:rPr>
              <w:t xml:space="preserve">Practical Feasibility</w:t>
            </w:r>
          </w:p>
        </w:tc>
        <w:tc>
          <w:tcPr>
            <w:tcW w:type="dxa" w:w="6900"/>
          </w:tcPr>
          <w:p>
            <w:r>
              <w:rPr>
                <w:sz w:val="19"/>
                <w:szCs w:val="19"/>
              </w:rPr>
              <w:t xml:space="preserve">Runs with zero external dependencies; Groq + SMTP are opt-in via env vars with automatic graceful fallback</w:t>
            </w:r>
          </w:p>
        </w:tc>
      </w:tr>
    </w:tbl>
    <w:p>
      <w:pPr>
        <w:pStyle w:val="Heading1"/>
        <w:pBdr>
          <w:bottom w:val="single" w:color="C79A3C" w:sz="6" w:space="4"/>
        </w:pBdr>
        <w:spacing w:after="140" w:before="320"/>
      </w:pPr>
      <w:r>
        <w:rPr>
          <w:b/>
          <w:bCs/>
          <w:color w:val="16233F"/>
        </w:rPr>
        <w:t xml:space="preserve">10. What Would Change for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Swap the Retriever for sentence embeddings + a vector index (FAISS/pgvector) once the KB grows beyond a few hundred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Replace the in-memory session dict with Redis so the bot works across multiple server workers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Move SMTP credentials and GROQ_API_KEY into a proper secrets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 authentication so session_id maps to a verified GBU student identity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 retry/backoff around the Groq call and basic per-session rate limiting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2026-07-24T04:18:33.114Z</dcterms:created>
  <dcterms:modified xsi:type="dcterms:W3CDTF">2026-07-24T04:18:33.130Z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