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Aishani Bahl, hereinafter referred to as the 'Landlord',</w:t>
      </w:r>
    </w:p>
    <w:p/>
    <w:p>
      <w:r>
        <w:t>AND</w:t>
      </w:r>
    </w:p>
    <w:p/>
    <w:p>
      <w:r>
        <w:t>TENANT: Aarav Deol,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₹42,500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₹335,000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Thane.</w:t>
      </w:r>
    </w:p>
    <w:p/>
    <w:p>
      <w:r>
        <w:t>8.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