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Triveni Korpal, hereinafter referred to as the 'Lessor',</w:t>
      </w:r>
    </w:p>
    <w:p/>
    <w:p>
      <w:r>
        <w:t>AND</w:t>
      </w:r>
    </w:p>
    <w:p/>
    <w:p>
      <w:r>
        <w:t>LESSEE: Maanas Uppal,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633/A, admeasuring 8.71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₹2,420,000 to the Lessor upon execution of this Deed.</w:t>
      </w:r>
    </w:p>
    <w:p/>
    <w:p>
      <w:r>
        <w:t>3. ANNUAL LEASE RENT</w:t>
      </w:r>
    </w:p>
    <w:p>
      <w:r>
        <w:t>Annual rent of ₹33,500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15 days in writing to the Lessee.</w:t>
      </w:r>
    </w:p>
    <w:p/>
    <w:p>
      <w:r>
        <w:t>6. NOTICE PERIOD - LESSEE</w:t>
      </w:r>
    </w:p>
    <w:p>
      <w:r>
        <w:t>The Lessee may terminate this Deed by serving a notice period of 60 days in writing to the Lessor.</w:t>
      </w:r>
    </w:p>
    <w:p/>
    <w:p>
      <w:r>
        <w:t>7.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9.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