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Faris Saraf, hereinafter referred to as the 'Landlord',</w:t>
      </w:r>
    </w:p>
    <w:p/>
    <w:p>
      <w:r>
        <w:t>AND</w:t>
      </w:r>
    </w:p>
    <w:p/>
    <w:p>
      <w:r>
        <w:t>TENANT: Pranit Bahri,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₹29,500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₹595,000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