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Avi Narayan, hereinafter referred to as the 'Lessor',</w:t>
      </w:r>
    </w:p>
    <w:p/>
    <w:p>
      <w:r>
        <w:t>AND</w:t>
      </w:r>
    </w:p>
    <w:p/>
    <w:p>
      <w:r>
        <w:t>LESSEE: Jeevika Dhar,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104/B, admeasuring 22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₹3,570,000 to the Lessor upon execution of this Deed.</w:t>
      </w:r>
    </w:p>
    <w:p/>
    <w:p>
      <w:r>
        <w:t>3. ANNUAL LEASE RENT</w:t>
      </w:r>
    </w:p>
    <w:p>
      <w:r>
        <w:t>Annual rent of ₹255,000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9.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