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Ishaan Nair, hereinafter referred to as the 'Lessor',</w:t>
      </w:r>
    </w:p>
    <w:p/>
    <w:p>
      <w:r>
        <w:t>AND</w:t>
      </w:r>
    </w:p>
    <w:p/>
    <w:p>
      <w:r>
        <w:t>LESSEE: Yagnesh Ravel,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446/A, admeasuring 6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₹4,620,000 to the Lessor upon execution of this Deed.</w:t>
      </w:r>
    </w:p>
    <w:p/>
    <w:p>
      <w:r>
        <w:t>3. ANNUAL LEASE RENT</w:t>
      </w:r>
    </w:p>
    <w:p>
      <w:r>
        <w:t>Annual rent of ₹36,000 for the leased land shall be paid by the Lessee to the Lessor on or before October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15 days in writing to the Lessee.</w:t>
      </w:r>
    </w:p>
    <w:p/>
    <w:p>
      <w:r>
        <w:t>6. NOTICE PERIOD - LESSEE</w:t>
      </w:r>
    </w:p>
    <w:p>
      <w:r>
        <w:t>The Lessee may terminate this Deed by serving a notice period of 60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9.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