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Vadodara between:</w:t>
      </w:r>
    </w:p>
    <w:p/>
    <w:p>
      <w:r>
        <w:t>LANDLORD: Raksha Narain, hereinafter referred to as the 'Landlord',</w:t>
      </w:r>
    </w:p>
    <w:p/>
    <w:p>
      <w:r>
        <w:t>AND</w:t>
      </w:r>
    </w:p>
    <w:p/>
    <w:p>
      <w:r>
        <w:t>TENANT: Utkarsh Bahri, hereinafter referred to as the 'Tenant'.</w:t>
      </w:r>
    </w:p>
    <w:p/>
    <w:p>
      <w:r>
        <w:t>This Agreement is governed by the laws of Telangana.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₹29,000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₹96,000 to the Landlord prior to taking possession, refundable within 30 days of vacating the premises subject to an itemized list of deductions not exceeding 10% of the deposit.</w:t>
      </w:r>
    </w:p>
    <w:p/>
    <w:p>
      <w:r>
        <w:t>4. NOTICE PERIOD - LANDLORD</w:t>
      </w:r>
    </w:p>
    <w:p>
      <w:r>
        <w:t>The Landlord may terminate this Agreement by serving a notice period of 15 days in writing to the Tenant.</w:t>
      </w:r>
    </w:p>
    <w:p/>
    <w:p>
      <w:r>
        <w:t>5. NOTICE PERIOD - TENANT</w:t>
      </w:r>
    </w:p>
    <w:p>
      <w:r>
        <w:t>The Tenant may terminate this Agreement by serving a notice period of 60 days in writing to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Vadodara.</w:t>
      </w:r>
    </w:p>
    <w:p/>
    <w:p>
      <w:r>
        <w:t>8. JURISDICTION</w:t>
      </w:r>
    </w:p>
    <w:p>
      <w:r>
        <w:t>The courts at Vadodara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