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Indira Lal, hereinafter referred to as the 'Lessor',</w:t>
      </w:r>
    </w:p>
    <w:p/>
    <w:p>
      <w:r>
        <w:t>AND</w:t>
      </w:r>
    </w:p>
    <w:p/>
    <w:p>
      <w:r>
        <w:t>LESSEE: Rudra Sharaf,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867/1, admeasuring 4.65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₹3,180,000 to the Lessor upon execution of this Deed.</w:t>
      </w:r>
    </w:p>
    <w:p/>
    <w:p>
      <w:r>
        <w:t>3. ANNUAL LEASE RENT</w:t>
      </w:r>
    </w:p>
    <w:p>
      <w:r>
        <w:t>Annual rent of ₹277,000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