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Rishi Trivedi, hereinafter referred to as the 'Lessor',</w:t>
      </w:r>
    </w:p>
    <w:p/>
    <w:p>
      <w:r>
        <w:t>AND</w:t>
      </w:r>
    </w:p>
    <w:p/>
    <w:p>
      <w:r>
        <w:t>LESSEE: Bahadurjit Suri,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690/B, admeasuring 2.73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₹1,580,000 to the Lessor upon execution of this Deed.</w:t>
      </w:r>
    </w:p>
    <w:p/>
    <w:p>
      <w:r>
        <w:t>3. ANNUAL LEASE RENT</w:t>
      </w:r>
    </w:p>
    <w:p>
      <w:r>
        <w:t>Annual rent of ₹253,500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commercial retail development;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7.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