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Jaipur between:</w:t>
      </w:r>
    </w:p>
    <w:p/>
    <w:p>
      <w:r>
        <w:t>LESSOR: Isaac Shankar, hereinafter referred to as the 'Lessor',</w:t>
      </w:r>
    </w:p>
    <w:p/>
    <w:p>
      <w:r>
        <w:t>AND</w:t>
      </w:r>
    </w:p>
    <w:p/>
    <w:p>
      <w:r>
        <w:t>LESSEE: Kashvi Merchant,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262/2, admeasuring 22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₹1,310,000 to the Lessor upon execution of this Deed.</w:t>
      </w:r>
    </w:p>
    <w:p/>
    <w:p>
      <w:r>
        <w:t>3. ANNUAL LEASE RENT</w:t>
      </w:r>
    </w:p>
    <w:p>
      <w:r>
        <w:t>Annual rent of ₹213,500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