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Vedhika Virk, hereinafter referred to as the 'Lessor',</w:t>
      </w:r>
    </w:p>
    <w:p/>
    <w:p>
      <w:r>
        <w:t>AND</w:t>
      </w:r>
    </w:p>
    <w:p/>
    <w:p>
      <w:r>
        <w:t>LESSEE: Radhika Nagarajan,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473/B, admeasuring 4.95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₹4,660,000 to the Lessor upon execution of this Deed.</w:t>
      </w:r>
    </w:p>
    <w:p/>
    <w:p>
      <w:r>
        <w:t>3. ANNUAL LEASE RENT</w:t>
      </w:r>
    </w:p>
    <w:p>
      <w:r>
        <w:t>Annual rent of ₹195,500 for the leased land shall be paid by the Lessee to the Lessor on or before May of every calendar year.</w:t>
      </w:r>
    </w:p>
    <w:p/>
    <w:p>
      <w:r>
        <w:t>4. PERMITTED USE</w:t>
      </w:r>
    </w:p>
    <w:p>
      <w:r>
        <w:t>The land hereby leased shall be utilised exclusively for industrial processing operations;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Kolkata.</w:t>
      </w:r>
    </w:p>
    <w:p/>
    <w:p>
      <w:r>
        <w:t>7. JURISDICTION</w:t>
      </w:r>
    </w:p>
    <w:p>
      <w:r>
        <w:t>The courts at Kolkata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