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Thane between:</w:t>
      </w:r>
    </w:p>
    <w:p/>
    <w:p>
      <w:r>
        <w:t>LESSOR: Shravya Dutt, hereinafter referred to as the 'Lessor',</w:t>
      </w:r>
    </w:p>
    <w:p/>
    <w:p>
      <w:r>
        <w:t>AND</w:t>
      </w:r>
    </w:p>
    <w:p/>
    <w:p>
      <w:r>
        <w:t>LESSEE: Widisha Pandey, hereinafter referred to as the 'Lessee'.</w:t>
      </w:r>
    </w:p>
    <w:p/>
    <w:p>
      <w:r>
        <w:t>This Deed is governed by the laws of Tamil Nadu.</w:t>
      </w:r>
    </w:p>
    <w:p/>
    <w:p>
      <w:r>
        <w:t>WHEREAS the Lessor is the absolute owner of the land bearing Survey No. 49/1, admeasuring 30 guntha, classified as Agricultural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₹3,130,000 to the Lessor upon execution of this Deed.</w:t>
      </w:r>
    </w:p>
    <w:p/>
    <w:p>
      <w:r>
        <w:t>3. ANNUAL LEASE RENT</w:t>
      </w:r>
    </w:p>
    <w:p>
      <w:r>
        <w:t>Annual rent of ₹184,000 for the leased land shall be paid by the Lessee to the Lessor on or before July of every calendar year.</w:t>
      </w:r>
    </w:p>
    <w:p/>
    <w:p>
      <w:r>
        <w:t>4. PERMITTED USE</w:t>
      </w:r>
    </w:p>
    <w:p>
      <w:r>
        <w:t>The land hereby leased shall be utilised exclusively for industrial processing operations; any change in use shall require the Lessor's written approval.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Thane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