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Kanpur between:</w:t>
      </w:r>
    </w:p>
    <w:p/>
    <w:p>
      <w:r>
        <w:t>LANDLORD: Gautami Mody, hereinafter referred to as the 'Landlord',</w:t>
      </w:r>
    </w:p>
    <w:p/>
    <w:p>
      <w:r>
        <w:t>AND</w:t>
      </w:r>
    </w:p>
    <w:p/>
    <w:p>
      <w:r>
        <w:t>TENANT: Jagat Chana,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₹74,000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₹190,000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Landlord shall be responsible for routine maintenance of the premises, while structural repairs shall be borne by the Tenant.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Kanpur.</w:t>
      </w:r>
    </w:p>
    <w:p/>
    <w:p>
      <w:r>
        <w:t>7. JURISDICTION</w:t>
      </w:r>
    </w:p>
    <w:p>
      <w:r>
        <w:t>The courts at Kanpur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