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Pune between:</w:t>
      </w:r>
    </w:p>
    <w:p/>
    <w:p>
      <w:r>
        <w:t>LANDLORD: Sathvik Barad, hereinafter referred to as the 'Landlord',</w:t>
      </w:r>
    </w:p>
    <w:p/>
    <w:p>
      <w:r>
        <w:t>AND</w:t>
      </w:r>
    </w:p>
    <w:p/>
    <w:p>
      <w:r>
        <w:t>TENANT: Udarsh Kanda,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₹11,000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₹116,000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Pune.</w:t>
      </w:r>
    </w:p>
    <w:p/>
    <w:p>
      <w:r>
        <w:t>7. JURISDICTION</w:t>
      </w:r>
    </w:p>
    <w:p>
      <w:r>
        <w:t>The courts at Pune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