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Nagercoil between:</w:t>
      </w:r>
    </w:p>
    <w:p/>
    <w:p>
      <w:r>
        <w:t>LANDLORD: Samaksh Banerjee, hereinafter referred to as the 'Landlord',</w:t>
      </w:r>
    </w:p>
    <w:p/>
    <w:p>
      <w:r>
        <w:t>AND</w:t>
      </w:r>
    </w:p>
    <w:p/>
    <w:p>
      <w:r>
        <w:t>TENANT: Rajata Dey,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₹63,500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₹72,000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Landlord shall be responsible for routine maintenance of the premises, while structural repairs shall be borne by the Tenant.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