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Chennai between:</w:t>
      </w:r>
    </w:p>
    <w:p/>
    <w:p>
      <w:r>
        <w:t>LANDLORD: Alka Kalla, hereinafter referred to as the 'Landlord',</w:t>
      </w:r>
    </w:p>
    <w:p/>
    <w:p>
      <w:r>
        <w:t>AND</w:t>
      </w:r>
    </w:p>
    <w:p/>
    <w:p>
      <w:r>
        <w:t>TENANT: Sai Chand, hereinafter referred to as the 'Tenant'.</w:t>
      </w:r>
    </w:p>
    <w:p/>
    <w:p>
      <w:r>
        <w:t>This Agreement is governed by the laws of Rajasthan.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₹20,000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₹51,000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Landlord shall be responsible for routine maintenance of the premises, while structural repairs shall be borne by the Tenant.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Chennai.</w:t>
      </w:r>
    </w:p>
    <w:p/>
    <w:p>
      <w:r>
        <w:t>7. JURISDICTION</w:t>
      </w:r>
    </w:p>
    <w:p>
      <w:r>
        <w:t>This Agreement shall be governed by the laws of India, and courts at Chennai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