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Patna between:</w:t>
      </w:r>
    </w:p>
    <w:p/>
    <w:p>
      <w:r>
        <w:t>LESSOR: Urvashi Acharya, hereinafter referred to as the 'Lessor',</w:t>
      </w:r>
    </w:p>
    <w:p/>
    <w:p>
      <w:r>
        <w:t>AND</w:t>
      </w:r>
    </w:p>
    <w:p/>
    <w:p>
      <w:r>
        <w:t>LESSEE: Sathvik Hayre, hereinafter referred to as the 'Lessee'.</w:t>
      </w:r>
    </w:p>
    <w:p/>
    <w:p>
      <w:r>
        <w:t>This Deed is governed by the laws of West Bengal.</w:t>
      </w:r>
    </w:p>
    <w:p/>
    <w:p>
      <w:r>
        <w:t>WHEREAS the Lessor is the absolute owner of the land bearing Survey No. 161/2, admeasuring 10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₹1,860,000 to the Lessor upon execution of this Deed.</w:t>
      </w:r>
    </w:p>
    <w:p/>
    <w:p>
      <w:r>
        <w:t>3. ANNUAL LEASE RENT</w:t>
      </w:r>
    </w:p>
    <w:p>
      <w:r>
        <w:t>Annual rent of ₹110,500 for the leased land shall be paid by the Lessee to the Lessor on or before September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DISPUTE RESOLUTION</w:t>
      </w:r>
    </w:p>
    <w:p>
      <w:r>
        <w:t>All disputes shall first be attempted to be resolved amicably, failing which the matter shall be subject to arbitration in Patna.</w:t>
      </w:r>
    </w:p>
    <w:p/>
    <w:p>
      <w:r>
        <w:t>6. JURISDICTION</w:t>
      </w:r>
    </w:p>
    <w:p>
      <w:r>
        <w:t>This Agreement shall be governed by the laws of India, and courts at Patna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