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Delhi between:</w:t>
      </w:r>
    </w:p>
    <w:p/>
    <w:p>
      <w:r>
        <w:t>LESSOR: Lajita Mandal, hereinafter referred to as the 'Lessor',</w:t>
      </w:r>
    </w:p>
    <w:p/>
    <w:p>
      <w:r>
        <w:t>AND</w:t>
      </w:r>
    </w:p>
    <w:p/>
    <w:p>
      <w:r>
        <w:t>LESSEE: Indira Murty,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921/3, admeasuring 4.22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ANNUAL LEASE RENT</w:t>
      </w:r>
    </w:p>
    <w:p>
      <w:r>
        <w:t>Annual rent of ₹178,500 for the leased land shall be paid by the Lessee to the Lessor on or before April of every calendar year.</w:t>
      </w:r>
    </w:p>
    <w:p/>
    <w:p>
      <w:r>
        <w:t>3.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4.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5.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6.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