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Lucky Sheth, hereinafter referred to as the 'Lessor',</w:t>
      </w:r>
    </w:p>
    <w:p/>
    <w:p>
      <w:r>
        <w:t>AND</w:t>
      </w:r>
    </w:p>
    <w:p/>
    <w:p>
      <w:r>
        <w:t>LESSEE: Caleb Dayal,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297/1, admeasuring 4.5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₹1,740,000 to the Lessor upon execution of this Deed.</w:t>
      </w:r>
    </w:p>
    <w:p/>
    <w:p>
      <w:r>
        <w:t>3. ANNUAL LEASE RENT</w:t>
      </w:r>
    </w:p>
    <w:p>
      <w:r>
        <w:t>Annual rent of ₹168,500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DISPUTE RESOLUTION</w:t>
      </w:r>
    </w:p>
    <w:p>
      <w:r>
        <w:t>All disputes shall first be attempted to be resolved amicably, failing which the matter shall be subject to arbitration in Bhopal.</w:t>
      </w:r>
    </w:p>
    <w:p/>
    <w:p>
      <w:r>
        <w:t>6.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