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Bengaluru between:</w:t>
      </w:r>
    </w:p>
    <w:p/>
    <w:p>
      <w:r>
        <w:t>LESSOR: Ansh Chakraborty, hereinafter referred to as the 'Lessor',</w:t>
      </w:r>
    </w:p>
    <w:p/>
    <w:p>
      <w:r>
        <w:t>AND</w:t>
      </w:r>
    </w:p>
    <w:p/>
    <w:p>
      <w:r>
        <w:t>LESSEE: Balendra Dayal,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12/1, admeasuring 3.18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ANNUAL LEASE RENT</w:t>
      </w:r>
    </w:p>
    <w:p>
      <w:r>
        <w:t>Annual rent of ₹49,000 for the leased land shall be paid by the Lessee to the Lessor on or before June of every calendar year.</w:t>
      </w:r>
    </w:p>
    <w:p/>
    <w:p>
      <w:r>
        <w:t>3.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4.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5. DISPUTE RESOLUTION</w:t>
      </w:r>
    </w:p>
    <w:p>
      <w:r>
        <w:t>All disputes shall first be attempted to be resolved amicably, failing which the matter shall be subject to arbitration in Bengaluru.</w:t>
      </w:r>
    </w:p>
    <w:p/>
    <w:p>
      <w:r>
        <w:t>6.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