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Kanpur between:</w:t>
      </w:r>
    </w:p>
    <w:p/>
    <w:p>
      <w:r>
        <w:t>LANDLORD: Damyanti Saraf, hereinafter referred to as the 'Landlord',</w:t>
      </w:r>
    </w:p>
    <w:p/>
    <w:p>
      <w:r>
        <w:t>AND</w:t>
      </w:r>
    </w:p>
    <w:p/>
    <w:p>
      <w:r>
        <w:t>TENANT: Dominic Bora,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₹21,000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₹175,500 to the Landlord prior to taking possession, refundable subject to deductions at the sole discretion of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Kanpur.</w:t>
      </w:r>
    </w:p>
    <w:p/>
    <w:p>
      <w:r>
        <w:t>7. JURISDICTION</w:t>
      </w:r>
    </w:p>
    <w:p>
      <w:r>
        <w:t>The courts at Kanpur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