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Samuel Karpe, hereinafter referred to as the 'Landlord',</w:t>
      </w:r>
    </w:p>
    <w:p/>
    <w:p>
      <w:r>
        <w:t>AND</w:t>
      </w:r>
    </w:p>
    <w:p/>
    <w:p>
      <w:r>
        <w:t>TENANT: Riya Swaminathan,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₹11,000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₹114,000 to the Landlord prior to taking possession, refundable subject to deductions at the sole discretion of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