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Mumbai between:</w:t>
      </w:r>
    </w:p>
    <w:p/>
    <w:p>
      <w:r>
        <w:t>LANDLORD: Lekha Butala, hereinafter referred to as the 'Landlord',</w:t>
      </w:r>
    </w:p>
    <w:p/>
    <w:p>
      <w:r>
        <w:t>AND</w:t>
      </w:r>
    </w:p>
    <w:p/>
    <w:p>
      <w:r>
        <w:t>TENANT: Dayamai Jha,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₹28,000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₹137,000 to the Landlord prior to taking possession, refundable subject to deductions as deemed fit by the Landlord.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Mumbai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