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Ahmedabad between:</w:t>
      </w:r>
    </w:p>
    <w:p/>
    <w:p>
      <w:r>
        <w:t>LANDLORD: Aishani Bawa, hereinafter referred to as the 'Landlord',</w:t>
      </w:r>
    </w:p>
    <w:p/>
    <w:p>
      <w:r>
        <w:t>AND</w:t>
      </w:r>
    </w:p>
    <w:p/>
    <w:p>
      <w:r>
        <w:t>TENANT: Abhiram Roy,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₹26,500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₹580,000 to the Landlord prior to taking possession, refundable subject to deductions as determined solely by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Ahmedabad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