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Nitesh Magar, hereinafter referred to as the 'Landlord',</w:t>
      </w:r>
    </w:p>
    <w:p/>
    <w:p>
      <w:r>
        <w:t>AND</w:t>
      </w:r>
    </w:p>
    <w:p/>
    <w:p>
      <w:r>
        <w:t>TENANT: Devansh Char,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₹79,000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₹471,000 to the Landlord prior to taking possession, refundable subject to deductions as determined solely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