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Thane between:</w:t>
      </w:r>
    </w:p>
    <w:p/>
    <w:p>
      <w:r>
        <w:t>LESSOR: Harita Walia, hereinafter referred to as the 'Lessor',</w:t>
      </w:r>
    </w:p>
    <w:p/>
    <w:p>
      <w:r>
        <w:t>AND</w:t>
      </w:r>
    </w:p>
    <w:p/>
    <w:p>
      <w:r>
        <w:t>LESSEE: Hardik Varty,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928/1, admeasuring 1.52 hectares,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₹1,520,000 to the Lessor upon execution of this Deed.</w:t>
      </w:r>
    </w:p>
    <w:p/>
    <w:p>
      <w:r>
        <w:t>3. ANNUAL LEASE RENT</w:t>
      </w:r>
    </w:p>
    <w:p>
      <w:r>
        <w:t>Annual rent of ₹120,500 for the leased land shall be paid by the Lessee to the Lessor on or before December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NOTICE PERIOD - LESSOR</w:t>
      </w:r>
    </w:p>
    <w:p>
      <w:r>
        <w:t>The Lessor may terminate this Deed by serving a notice period of 30 days in writing to the Lessee.</w:t>
      </w:r>
    </w:p>
    <w:p/>
    <w:p>
      <w:r>
        <w:t>6. NOTICE PERIOD - LESSEE</w:t>
      </w:r>
    </w:p>
    <w:p>
      <w:r>
        <w:t>The Lessee may terminate this Deed by serving a notice period of 30 days in writing to the Lessor.</w:t>
      </w:r>
    </w:p>
    <w:p/>
    <w:p>
      <w:r>
        <w:t>7.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8. DISPUTE RESOLUTION</w:t>
      </w:r>
    </w:p>
    <w:p>
      <w:r>
        <w:t>All disputes shall first be attempted to be resolved amicably, failing which the matter shall be subject to arbitration in Thane.</w:t>
      </w:r>
    </w:p>
    <w:p/>
    <w:p>
      <w:r>
        <w:t>9. JURISDICTION</w:t>
      </w:r>
    </w:p>
    <w:p>
      <w:r>
        <w:t>This Agreement shall be governed by the laws of India, and courts at Thane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