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Bhopal between:</w:t>
      </w:r>
    </w:p>
    <w:p/>
    <w:p>
      <w:r>
        <w:t>LESSOR: Kavya Chakraborty, hereinafter referred to as the 'Lessor',</w:t>
      </w:r>
    </w:p>
    <w:p/>
    <w:p>
      <w:r>
        <w:t>AND</w:t>
      </w:r>
    </w:p>
    <w:p/>
    <w:p>
      <w:r>
        <w:t>LESSEE: Girik Bajaj,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734/2, admeasuring 5.01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₹4,620,000 to the Lessor upon execution of this Deed.</w:t>
      </w:r>
    </w:p>
    <w:p/>
    <w:p>
      <w:r>
        <w:t>3. ANNUAL LEASE RENT</w:t>
      </w:r>
    </w:p>
    <w:p>
      <w:r>
        <w:t>Annual rent of ₹298,500 for the leased land shall be paid by the Lessee to the Lessor on or before May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30 days in writing to the Lessee.</w:t>
      </w:r>
    </w:p>
    <w:p/>
    <w:p>
      <w:r>
        <w:t>6. NOTICE PERIOD - LESSEE</w:t>
      </w:r>
    </w:p>
    <w:p>
      <w:r>
        <w:t>The Lessee may terminate this Deed by serving a notice period of 30 days in writing to the Lessor.</w:t>
      </w:r>
    </w:p>
    <w:p/>
    <w:p>
      <w:r>
        <w:t>7.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8.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9. JURISDICTION</w:t>
      </w:r>
    </w:p>
    <w:p>
      <w:r>
        <w:t>This Agreement shall be governed by the laws of India, and courts at Bhopal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