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Bengaluru between:</w:t>
      </w:r>
    </w:p>
    <w:p/>
    <w:p>
      <w:r>
        <w:t>LESSOR: Aachal Yogi, hereinafter referred to as the 'Lessor',</w:t>
      </w:r>
    </w:p>
    <w:p/>
    <w:p>
      <w:r>
        <w:t>AND</w:t>
      </w:r>
    </w:p>
    <w:p/>
    <w:p>
      <w:r>
        <w:t>LESSEE: Ridhi Datta,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26/2, admeasuring 1081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₹3,040,000 to the Lessor upon execution of this Deed.</w:t>
      </w:r>
    </w:p>
    <w:p/>
    <w:p>
      <w:r>
        <w:t>3. ANNUAL LEASE RENT</w:t>
      </w:r>
    </w:p>
    <w:p>
      <w:r>
        <w:t>Annual rent of ₹171,500 for the leased land shall be paid by the Lessee to the Lessor on or before August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NOTICE PERIOD - LESSOR</w:t>
      </w:r>
    </w:p>
    <w:p>
      <w:r>
        <w:t>The Lessor may terminate this Deed by serving a notice period of 30 days in writing to the Lessee.</w:t>
      </w:r>
    </w:p>
    <w:p/>
    <w:p>
      <w:r>
        <w:t>6. NOTICE PERIOD - LESSEE</w:t>
      </w:r>
    </w:p>
    <w:p>
      <w:r>
        <w:t>The Lessee may terminate this Deed by serving a notice period of 30 days in writing to the Lessor.</w:t>
      </w:r>
    </w:p>
    <w:p/>
    <w:p>
      <w:r>
        <w:t>7. TERMINATION</w:t>
      </w:r>
    </w:p>
    <w:p>
      <w:r>
        <w:t>The Landlord may terminate this Agreement forthwith in the event of non-payment of rent for two consecutive months.</w:t>
      </w:r>
    </w:p>
    <w:p/>
    <w:p>
      <w:r>
        <w:t>8. DISPUTE RESOLUTION</w:t>
      </w:r>
    </w:p>
    <w:p>
      <w:r>
        <w:t>All disputes shall first be attempted to be resolved amicably, failing which the matter shall be subject to arbitration in Bengaluru.</w:t>
      </w:r>
    </w:p>
    <w:p/>
    <w:p>
      <w:r>
        <w:t>9. JURISDICTION</w:t>
      </w:r>
    </w:p>
    <w:p>
      <w:r>
        <w:t>The courts at Bengaluru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