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Chennai between:</w:t>
      </w:r>
    </w:p>
    <w:p/>
    <w:p>
      <w:r>
        <w:t>LANDLORD: Banjeet Char, hereinafter referred to as the 'Landlord',</w:t>
      </w:r>
    </w:p>
    <w:p/>
    <w:p>
      <w:r>
        <w:t>AND</w:t>
      </w:r>
    </w:p>
    <w:p/>
    <w:p>
      <w:r>
        <w:t>TENANT: Chakradev Khosla, hereinafter referred to as the 'Tenant'.</w:t>
      </w:r>
    </w:p>
    <w:p/>
    <w:p>
      <w:r>
        <w:t>This Agreement is governed by the laws of Tamil Nadu.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₹15,500 per month towards rent, such payment to be made no later than the 5th of each month.</w:t>
      </w:r>
    </w:p>
    <w:p/>
    <w:p>
      <w:r>
        <w:t>3. SECURITY DEPOSIT</w:t>
      </w:r>
    </w:p>
    <w:p>
      <w:r>
        <w:t>The Tenant shall pay an interest-free refundable security deposit of ₹105,000 to the Landlord prior to taking possession, refundable within 30 days of vacating the premises subject to an itemized list of deductions not exceeding 10% of the deposit.</w:t>
      </w:r>
    </w:p>
    <w:p/>
    <w:p>
      <w:r>
        <w:t>4. NOTICE PERIOD - LANDLORD</w:t>
      </w:r>
    </w:p>
    <w:p>
      <w:r>
        <w:t>The Landlord may terminate this Agreement by serving a notice period of 30 days in writing to the Tenant.</w:t>
      </w:r>
    </w:p>
    <w:p/>
    <w:p>
      <w:r>
        <w:t>5. NOTICE PERIOD - TENANT</w:t>
      </w:r>
    </w:p>
    <w:p>
      <w:r>
        <w:t>The Tenant may terminate this Agreement by serving a notice period of 30 days in writing to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Chennai.</w:t>
      </w:r>
    </w:p>
    <w:p/>
    <w:p>
      <w:r>
        <w:t>8. JURISDICTION</w:t>
      </w:r>
    </w:p>
    <w:p>
      <w:r>
        <w:t>This Agreement shall be governed by the laws of India, and courts at Chennai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