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Thane between:</w:t>
      </w:r>
    </w:p>
    <w:p/>
    <w:p>
      <w:r>
        <w:t>LANDLORD: Falak Choudhury, hereinafter referred to as the 'Landlord',</w:t>
      </w:r>
    </w:p>
    <w:p/>
    <w:p>
      <w:r>
        <w:t>AND</w:t>
      </w:r>
    </w:p>
    <w:p/>
    <w:p>
      <w:r>
        <w:t>TENANT: Chanchal Narayanan,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₹27,000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₹190,000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30 days in writing to the Tenant.</w:t>
      </w:r>
    </w:p>
    <w:p/>
    <w:p>
      <w:r>
        <w:t>5. NOTICE PERIOD - TENANT</w:t>
      </w:r>
    </w:p>
    <w:p>
      <w:r>
        <w:t>The Tenant may terminate this Agreement by serving a notice period of 30 days in writing to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Thane.</w:t>
      </w:r>
    </w:p>
    <w:p/>
    <w:p>
      <w:r>
        <w:t>8. JURISDICTION</w:t>
      </w:r>
    </w:p>
    <w:p>
      <w:r>
        <w:t>The courts at Thane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