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Patna between:</w:t>
      </w:r>
    </w:p>
    <w:p/>
    <w:p>
      <w:r>
        <w:t>LESSOR: Darpan Bhat, hereinafter referred to as the 'Lessor',</w:t>
      </w:r>
    </w:p>
    <w:p/>
    <w:p>
      <w:r>
        <w:t>AND</w:t>
      </w:r>
    </w:p>
    <w:p/>
    <w:p>
      <w:r>
        <w:t>LESSEE: Dev Wali,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185/A, admeasuring 0.25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₹2,470,000 to the Lessor upon execution of this Deed.</w:t>
      </w:r>
    </w:p>
    <w:p/>
    <w:p>
      <w:r>
        <w:t>3. ANNUAL LEASE RENT</w:t>
      </w:r>
    </w:p>
    <w:p>
      <w:r>
        <w:t>Annual rent of ₹292,000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7.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